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A21735" w14:textId="77777777" w:rsidR="007E28DF" w:rsidRDefault="007E28DF" w:rsidP="007E28DF">
      <w:pPr>
        <w:jc w:val="center"/>
        <w:rPr>
          <w:b/>
        </w:rPr>
      </w:pPr>
      <w:r w:rsidRPr="00A84AAB">
        <w:rPr>
          <w:b/>
        </w:rPr>
        <w:t>МИНИСТЕРСТВО ЗДРАВООХРАНЕНИЯ РОССИЙСКОЙ ФЕДЕРАЦИИ</w:t>
      </w:r>
    </w:p>
    <w:p w14:paraId="7E6150F3" w14:textId="77777777" w:rsidR="00DB4F50" w:rsidRPr="00A84AAB" w:rsidRDefault="00DB4F50" w:rsidP="007E28DF">
      <w:pPr>
        <w:jc w:val="center"/>
        <w:rPr>
          <w:b/>
        </w:rPr>
      </w:pPr>
    </w:p>
    <w:p w14:paraId="766B6E7D" w14:textId="77777777" w:rsidR="007E28DF" w:rsidRPr="00A84AAB" w:rsidRDefault="007E28DF" w:rsidP="007E28DF">
      <w:pPr>
        <w:jc w:val="center"/>
        <w:rPr>
          <w:b/>
        </w:rPr>
      </w:pPr>
      <w:r w:rsidRPr="00A84AAB">
        <w:rPr>
          <w:b/>
        </w:rPr>
        <w:t>ИНСТРУКЦИЯ</w:t>
      </w:r>
    </w:p>
    <w:p w14:paraId="4BC31383" w14:textId="77777777" w:rsidR="002133A8" w:rsidRPr="00A84AAB" w:rsidRDefault="002133A8" w:rsidP="007E28DF">
      <w:pPr>
        <w:jc w:val="center"/>
        <w:rPr>
          <w:b/>
        </w:rPr>
      </w:pPr>
    </w:p>
    <w:p w14:paraId="6E46E92B" w14:textId="77777777" w:rsidR="007E28DF" w:rsidRPr="00A84AAB" w:rsidRDefault="00DB4F50" w:rsidP="007E28DF">
      <w:pPr>
        <w:jc w:val="center"/>
        <w:rPr>
          <w:b/>
        </w:rPr>
      </w:pPr>
      <w:r>
        <w:rPr>
          <w:b/>
        </w:rPr>
        <w:t>ПО МЕДИЦИНСКОМУ ПРИМЕНЕНИЮ ЛЕКАРСТВЕННОГО ПРЕПАРАТА</w:t>
      </w:r>
    </w:p>
    <w:p w14:paraId="316C036B" w14:textId="77777777" w:rsidR="007E28DF" w:rsidRPr="00A84AAB" w:rsidRDefault="007E28DF" w:rsidP="007E28DF">
      <w:pPr>
        <w:jc w:val="center"/>
        <w:rPr>
          <w:b/>
        </w:rPr>
      </w:pPr>
    </w:p>
    <w:p w14:paraId="211F4705" w14:textId="77777777" w:rsidR="00A033A2" w:rsidRDefault="00A033A2" w:rsidP="007E28DF">
      <w:pPr>
        <w:jc w:val="center"/>
        <w:rPr>
          <w:b/>
        </w:rPr>
      </w:pPr>
    </w:p>
    <w:p w14:paraId="17CBEFD3" w14:textId="2D8531E4" w:rsidR="007E28DF" w:rsidRDefault="001B79D3" w:rsidP="007E28DF">
      <w:pPr>
        <w:jc w:val="center"/>
        <w:rPr>
          <w:b/>
        </w:rPr>
      </w:pPr>
      <w:r>
        <w:rPr>
          <w:b/>
        </w:rPr>
        <w:t>Эналаприл</w:t>
      </w:r>
    </w:p>
    <w:p w14:paraId="5E1AF8AE" w14:textId="77777777" w:rsidR="002133A8" w:rsidRPr="00A84AAB" w:rsidRDefault="002133A8" w:rsidP="007E28DF">
      <w:pPr>
        <w:jc w:val="center"/>
        <w:rPr>
          <w:b/>
        </w:rPr>
      </w:pPr>
    </w:p>
    <w:p w14:paraId="1CD26135" w14:textId="6FBE9037" w:rsidR="007E28DF" w:rsidRPr="006136D3" w:rsidRDefault="007E28DF" w:rsidP="002133A8">
      <w:pPr>
        <w:spacing w:line="360" w:lineRule="auto"/>
        <w:jc w:val="both"/>
      </w:pPr>
      <w:r w:rsidRPr="00A84AAB">
        <w:rPr>
          <w:b/>
        </w:rPr>
        <w:t xml:space="preserve">Регистрационный номер: </w:t>
      </w:r>
    </w:p>
    <w:p w14:paraId="4DE7F164" w14:textId="708B7DD0" w:rsidR="007E28DF" w:rsidRPr="00A033A2" w:rsidRDefault="007E28DF" w:rsidP="002133A8">
      <w:pPr>
        <w:spacing w:line="360" w:lineRule="auto"/>
        <w:jc w:val="both"/>
      </w:pPr>
      <w:r w:rsidRPr="00A033A2">
        <w:rPr>
          <w:b/>
        </w:rPr>
        <w:t xml:space="preserve">Торговое </w:t>
      </w:r>
      <w:r w:rsidR="00DB4F50" w:rsidRPr="00A033A2">
        <w:rPr>
          <w:b/>
        </w:rPr>
        <w:t>наименование</w:t>
      </w:r>
      <w:r w:rsidRPr="00A033A2">
        <w:rPr>
          <w:b/>
        </w:rPr>
        <w:t>:</w:t>
      </w:r>
      <w:r w:rsidR="00747118">
        <w:t xml:space="preserve"> </w:t>
      </w:r>
      <w:r w:rsidR="001B79D3">
        <w:t>Эналаприл</w:t>
      </w:r>
    </w:p>
    <w:p w14:paraId="56245993" w14:textId="20750245" w:rsidR="007E28DF" w:rsidRPr="001E08AB" w:rsidRDefault="007E28DF" w:rsidP="002133A8">
      <w:pPr>
        <w:spacing w:line="360" w:lineRule="auto"/>
        <w:jc w:val="both"/>
      </w:pPr>
      <w:r w:rsidRPr="00A033A2">
        <w:rPr>
          <w:b/>
        </w:rPr>
        <w:t xml:space="preserve">Международное </w:t>
      </w:r>
      <w:r w:rsidRPr="001E08AB">
        <w:rPr>
          <w:b/>
        </w:rPr>
        <w:t xml:space="preserve">непатентованное </w:t>
      </w:r>
      <w:r w:rsidR="00DB4F50" w:rsidRPr="001E08AB">
        <w:rPr>
          <w:b/>
        </w:rPr>
        <w:t>или группировочное наименование</w:t>
      </w:r>
      <w:r w:rsidRPr="001E08AB">
        <w:rPr>
          <w:b/>
        </w:rPr>
        <w:t>:</w:t>
      </w:r>
      <w:r w:rsidR="00747118" w:rsidRPr="001E08AB">
        <w:t xml:space="preserve"> </w:t>
      </w:r>
      <w:r w:rsidR="001B79D3">
        <w:t>эналаприл</w:t>
      </w:r>
    </w:p>
    <w:p w14:paraId="4B8D4AD9" w14:textId="77777777" w:rsidR="00DB4F50" w:rsidRPr="001E08AB" w:rsidRDefault="00DB4F50" w:rsidP="002133A8">
      <w:pPr>
        <w:spacing w:line="360" w:lineRule="auto"/>
        <w:jc w:val="both"/>
      </w:pPr>
      <w:r w:rsidRPr="001E08AB">
        <w:rPr>
          <w:b/>
        </w:rPr>
        <w:t>Лекарственная форма:</w:t>
      </w:r>
      <w:r w:rsidRPr="001E08AB">
        <w:t xml:space="preserve"> </w:t>
      </w:r>
      <w:r w:rsidR="006136D3" w:rsidRPr="001E08AB">
        <w:t>таблетки</w:t>
      </w:r>
    </w:p>
    <w:p w14:paraId="067D36A2" w14:textId="2557ED49" w:rsidR="00911D0E" w:rsidRDefault="004B3B03" w:rsidP="002133A8">
      <w:pPr>
        <w:spacing w:line="360" w:lineRule="auto"/>
        <w:jc w:val="both"/>
        <w:rPr>
          <w:b/>
        </w:rPr>
      </w:pPr>
      <w:r w:rsidRPr="00A033A2">
        <w:rPr>
          <w:b/>
        </w:rPr>
        <w:t>Состав на одну таблетку</w:t>
      </w:r>
      <w:r w:rsidR="006136D3" w:rsidRPr="00A033A2">
        <w:rPr>
          <w:b/>
        </w:rPr>
        <w:t>:</w:t>
      </w:r>
    </w:p>
    <w:p w14:paraId="2C039D31" w14:textId="4A3BFCE2" w:rsidR="004A5065" w:rsidRDefault="004A5065" w:rsidP="002133A8">
      <w:pPr>
        <w:spacing w:line="360" w:lineRule="auto"/>
        <w:jc w:val="both"/>
      </w:pPr>
      <w:r w:rsidRPr="004A5065">
        <w:rPr>
          <w:i/>
        </w:rPr>
        <w:t>Действующее вещество</w:t>
      </w:r>
      <w:r w:rsidRPr="004A5065">
        <w:t>:</w:t>
      </w:r>
    </w:p>
    <w:p w14:paraId="25A980EF" w14:textId="5AB057D4" w:rsidR="004A5065" w:rsidRDefault="008E642A" w:rsidP="004A5065">
      <w:pPr>
        <w:spacing w:line="360" w:lineRule="auto"/>
        <w:jc w:val="both"/>
      </w:pPr>
      <w:r>
        <w:t>Эналаприла малеат – 5,00 мг или 20,00 мг</w:t>
      </w:r>
    </w:p>
    <w:p w14:paraId="36A647A5" w14:textId="24174335" w:rsidR="004A5065" w:rsidRDefault="004A5065" w:rsidP="004A5065">
      <w:pPr>
        <w:spacing w:line="360" w:lineRule="auto"/>
        <w:jc w:val="both"/>
        <w:rPr>
          <w:i/>
        </w:rPr>
      </w:pPr>
      <w:r w:rsidRPr="004A5065">
        <w:rPr>
          <w:i/>
        </w:rPr>
        <w:t>Вспомогательные вещества:</w:t>
      </w:r>
    </w:p>
    <w:p w14:paraId="23F88683" w14:textId="771EA6FB" w:rsidR="005730CA" w:rsidRDefault="008E642A" w:rsidP="002133A8">
      <w:pPr>
        <w:spacing w:line="360" w:lineRule="auto"/>
        <w:jc w:val="both"/>
      </w:pPr>
      <w:r>
        <w:t>Лактозы моногидрат, крахмал картофельный, тальк, кальция стеарат, гипролоза</w:t>
      </w:r>
      <w:r w:rsidR="005730CA" w:rsidRPr="005730CA">
        <w:t xml:space="preserve">. </w:t>
      </w:r>
    </w:p>
    <w:p w14:paraId="64EA93AC" w14:textId="14E38AC1" w:rsidR="007E28DF" w:rsidRPr="00A033A2" w:rsidRDefault="004B3B03" w:rsidP="002133A8">
      <w:pPr>
        <w:spacing w:line="360" w:lineRule="auto"/>
        <w:jc w:val="both"/>
        <w:rPr>
          <w:i/>
        </w:rPr>
      </w:pPr>
      <w:r w:rsidRPr="00A033A2">
        <w:rPr>
          <w:b/>
        </w:rPr>
        <w:t>Описание:</w:t>
      </w:r>
      <w:r w:rsidR="006136D3" w:rsidRPr="00A033A2">
        <w:rPr>
          <w:b/>
        </w:rPr>
        <w:t xml:space="preserve"> </w:t>
      </w:r>
      <w:r w:rsidR="008E642A">
        <w:t>к</w:t>
      </w:r>
      <w:r w:rsidR="008E642A" w:rsidRPr="0082299B">
        <w:t>руглые плоскоцилиндрические таблетки белого с желтоватым оттенком цвета с фаской для дозировки 5 мг и с фаской и риской для дозировки 20 мг</w:t>
      </w:r>
      <w:r w:rsidR="008E642A">
        <w:t>.</w:t>
      </w:r>
    </w:p>
    <w:p w14:paraId="4F1C6437" w14:textId="7669A31B" w:rsidR="007E28DF" w:rsidRPr="00A033A2" w:rsidRDefault="004B3B03" w:rsidP="002133A8">
      <w:pPr>
        <w:spacing w:line="360" w:lineRule="auto"/>
        <w:jc w:val="both"/>
        <w:rPr>
          <w:b/>
        </w:rPr>
      </w:pPr>
      <w:r w:rsidRPr="00A033A2">
        <w:rPr>
          <w:b/>
        </w:rPr>
        <w:t xml:space="preserve">Фармакотерапевтическая группа: </w:t>
      </w:r>
      <w:r w:rsidR="008E642A" w:rsidRPr="008E642A">
        <w:t>Ангиотензинпревращающего фермента (АПФ) ингибитор.</w:t>
      </w:r>
    </w:p>
    <w:p w14:paraId="0F3D75B7" w14:textId="4D4103AF" w:rsidR="007E28DF" w:rsidRPr="00A033A2" w:rsidRDefault="004B3B03" w:rsidP="002133A8">
      <w:pPr>
        <w:spacing w:line="360" w:lineRule="auto"/>
        <w:jc w:val="both"/>
      </w:pPr>
      <w:r w:rsidRPr="00A033A2">
        <w:rPr>
          <w:b/>
        </w:rPr>
        <w:t>Код</w:t>
      </w:r>
      <w:r w:rsidR="006136D3" w:rsidRPr="00A033A2">
        <w:rPr>
          <w:b/>
        </w:rPr>
        <w:t xml:space="preserve"> АТХ</w:t>
      </w:r>
      <w:r w:rsidR="006136D3" w:rsidRPr="001E08AB">
        <w:rPr>
          <w:b/>
        </w:rPr>
        <w:t>:</w:t>
      </w:r>
      <w:r w:rsidR="006136D3" w:rsidRPr="00A033A2">
        <w:t xml:space="preserve"> </w:t>
      </w:r>
      <w:r w:rsidR="00A63C2C">
        <w:t>С09АА02</w:t>
      </w:r>
    </w:p>
    <w:p w14:paraId="3F88E271" w14:textId="77777777" w:rsidR="00C13EC2" w:rsidRDefault="00C13EC2" w:rsidP="00C13EC2">
      <w:pPr>
        <w:spacing w:line="360" w:lineRule="auto"/>
        <w:jc w:val="both"/>
        <w:rPr>
          <w:b/>
        </w:rPr>
      </w:pPr>
      <w:r w:rsidRPr="00A033A2">
        <w:rPr>
          <w:b/>
        </w:rPr>
        <w:t>Фармакологические свойства</w:t>
      </w:r>
    </w:p>
    <w:p w14:paraId="0163DD59" w14:textId="77777777" w:rsidR="00C13EC2" w:rsidRPr="00046F68" w:rsidRDefault="00C13EC2" w:rsidP="00C13EC2">
      <w:pPr>
        <w:spacing w:line="360" w:lineRule="auto"/>
        <w:jc w:val="both"/>
        <w:rPr>
          <w:b/>
          <w:i/>
        </w:rPr>
      </w:pPr>
      <w:r w:rsidRPr="00046F68">
        <w:rPr>
          <w:b/>
          <w:i/>
        </w:rPr>
        <w:t>Ф</w:t>
      </w:r>
      <w:r>
        <w:rPr>
          <w:b/>
          <w:i/>
        </w:rPr>
        <w:t>а</w:t>
      </w:r>
      <w:r w:rsidRPr="00046F68">
        <w:rPr>
          <w:b/>
          <w:i/>
        </w:rPr>
        <w:t>рмакодинамика</w:t>
      </w:r>
    </w:p>
    <w:p w14:paraId="6F2F6011" w14:textId="77777777" w:rsidR="00C13EC2" w:rsidRDefault="00C13EC2" w:rsidP="00C13EC2">
      <w:pPr>
        <w:spacing w:line="360" w:lineRule="auto"/>
        <w:jc w:val="both"/>
      </w:pPr>
      <w:r>
        <w:t>Эналаприл относится к лекарственным средствам, влияющим на ренин-ангиотензинальдостероновую систему (РААС), - ингибиторам АПФ.</w:t>
      </w:r>
    </w:p>
    <w:p w14:paraId="078569FC" w14:textId="77777777" w:rsidR="00C13EC2" w:rsidRDefault="00C13EC2" w:rsidP="00C13EC2">
      <w:pPr>
        <w:spacing w:line="360" w:lineRule="auto"/>
        <w:jc w:val="both"/>
      </w:pPr>
      <w:r>
        <w:t>Эналаприл является производным двух аминокислот: L-аланина и L-пролина. После приема внутрь эналаприл быстро всасывается и гидролизуется в эналаприлат, который является высокоспецифичным и длительно действующим ингибитором АПФ, не содержащим сульфгидрильную группу. </w:t>
      </w:r>
    </w:p>
    <w:p w14:paraId="243FA6AA" w14:textId="77777777" w:rsidR="00C13EC2" w:rsidRDefault="00C13EC2" w:rsidP="00C13EC2">
      <w:pPr>
        <w:spacing w:line="360" w:lineRule="auto"/>
        <w:jc w:val="both"/>
      </w:pPr>
      <w:r>
        <w:t xml:space="preserve">АПФ (пептидил-дипептидаза А) катализирует превращение ангиотензина I в прессорный пептид ангиотензин II. После всасывания эналаприл гидролизуется до эналаприлата, который ингибирует АПФ. Ингибирование АПФ приводит к снижению концентрации ангиотензина II в плазме крови, что влечет за собой увеличение активности ренина плазмы </w:t>
      </w:r>
      <w:r>
        <w:lastRenderedPageBreak/>
        <w:t>крови (вследствие устранения отрицательной обратной связи в ответ на высвобождение ренина) и уменьшение секреции альдостерона.</w:t>
      </w:r>
    </w:p>
    <w:p w14:paraId="38E9917D" w14:textId="77777777" w:rsidR="00C13EC2" w:rsidRDefault="00C13EC2" w:rsidP="00C13EC2">
      <w:pPr>
        <w:spacing w:line="360" w:lineRule="auto"/>
        <w:jc w:val="both"/>
      </w:pPr>
      <w:r>
        <w:t>АПФ идентичен ферменту кининаза II, поэтому эналаприл также может блокировать разрушение брадикинина - пептида, обладающего выраженным вазодилатирующим действием. Значение этого эффекта в терапевтическом действии эналаприла требует уточнения.</w:t>
      </w:r>
    </w:p>
    <w:p w14:paraId="737F380E" w14:textId="77777777" w:rsidR="00C13EC2" w:rsidRDefault="00C13EC2" w:rsidP="00C13EC2">
      <w:pPr>
        <w:spacing w:line="360" w:lineRule="auto"/>
        <w:jc w:val="both"/>
      </w:pPr>
      <w:r>
        <w:t>Несмотря на то, что основным механизмом, при помощи которого эналаприл снижает артериальное давление (АД), считается подавление активности РААС, играющей важную роль в регулировании АД, эналаприл проявляет антигипертензивное действие даже у пациентов с артериальной гипертензией (АГ) и со сниженной активностью ренина плазмы крови.</w:t>
      </w:r>
    </w:p>
    <w:p w14:paraId="72967482" w14:textId="77777777" w:rsidR="00C13EC2" w:rsidRDefault="00C13EC2" w:rsidP="00C13EC2">
      <w:pPr>
        <w:spacing w:line="360" w:lineRule="auto"/>
        <w:jc w:val="both"/>
      </w:pPr>
      <w:r>
        <w:t>Применение эналаприла пациентами с АГ приводит к снижению АД как в положении «стоя», так и в положении «лежа» без значимого увеличения частоты сердечных сокращений (ЧСС).</w:t>
      </w:r>
    </w:p>
    <w:p w14:paraId="11009026" w14:textId="77777777" w:rsidR="00C13EC2" w:rsidRDefault="00C13EC2" w:rsidP="00C13EC2">
      <w:pPr>
        <w:spacing w:line="360" w:lineRule="auto"/>
        <w:jc w:val="both"/>
      </w:pPr>
      <w:r>
        <w:t xml:space="preserve">Симптоматическая постуральная гипотензия развивается нечасто. У некоторых пациентов достижение оптимального снижения АД может потребовать нескольких недель терапии. Прерывание терапии эналаприлом не вызывает резкого подъема АД. </w:t>
      </w:r>
    </w:p>
    <w:p w14:paraId="5DA6AB17" w14:textId="77777777" w:rsidR="00C13EC2" w:rsidRDefault="00C13EC2" w:rsidP="00C13EC2">
      <w:pPr>
        <w:spacing w:line="360" w:lineRule="auto"/>
        <w:jc w:val="both"/>
      </w:pPr>
      <w:r>
        <w:t>Эффективное ингибирование активности АПФ обычно развивается через 2-4 ч после однократного приема дозы эналаприла внутрь. Антигипертензивное действие развивается в течение 1 ч, максимальное снижение АД наблюдается через 4-6 ч после приема препарата. Продолжительность действия зависит от дозы. Однако, при применении рекомендованных доз антигипертензивное действие и гемодинамические эффекты сохраняются в течение       24 ч.</w:t>
      </w:r>
    </w:p>
    <w:p w14:paraId="5DFE6E6A" w14:textId="77777777" w:rsidR="00C13EC2" w:rsidRDefault="00C13EC2" w:rsidP="00C13EC2">
      <w:pPr>
        <w:spacing w:line="360" w:lineRule="auto"/>
        <w:jc w:val="both"/>
      </w:pPr>
      <w:r>
        <w:t>Гипотензивная терапия эналаприлом ведет к значительной регрессии гипертрофии левого желудочка и сохранению его систолической функции.</w:t>
      </w:r>
    </w:p>
    <w:p w14:paraId="04DEC947" w14:textId="77777777" w:rsidR="00C13EC2" w:rsidRDefault="00C13EC2" w:rsidP="00C13EC2">
      <w:pPr>
        <w:spacing w:line="360" w:lineRule="auto"/>
        <w:jc w:val="both"/>
      </w:pPr>
      <w:r>
        <w:t xml:space="preserve">В клинических исследованиях гемодинамики у пациентов с эссенциальной гипертензией снижение АД сопровождалось снижением общего периферического сосудистого сопротивления, увеличением сердечного выброса и отсутствием изменений или незначительными изменениями ЧСС. После приема эналаприла наблюдалось увеличение почечного кровотока. При этом скорость клубочковой фильтрации (СКФ) не менялась, не наблюдались признаки задержки натрия или жидкости. Однако, у пациентов с исходно сниженной клубочковой фильтрацией ее скорость обычно увеличивалась. </w:t>
      </w:r>
    </w:p>
    <w:p w14:paraId="71DC6A6D" w14:textId="77777777" w:rsidR="00C13EC2" w:rsidRDefault="00C13EC2" w:rsidP="00C13EC2">
      <w:pPr>
        <w:spacing w:line="360" w:lineRule="auto"/>
        <w:jc w:val="both"/>
      </w:pPr>
      <w:r>
        <w:lastRenderedPageBreak/>
        <w:t>Длительное применение эналаприла у пациентов с эссенциальной гипертензией и почечной недостаточностью может привести к улучшению функции почек, что подтверждается увеличением СКФ.</w:t>
      </w:r>
    </w:p>
    <w:p w14:paraId="2FEBDC4C" w14:textId="77777777" w:rsidR="00C13EC2" w:rsidRDefault="00C13EC2" w:rsidP="00C13EC2">
      <w:pPr>
        <w:spacing w:line="360" w:lineRule="auto"/>
        <w:jc w:val="both"/>
      </w:pPr>
      <w:r>
        <w:t>В коротких клинических исследованиях у пациентов с почечной недостаточностью и с сахарным диабетом или без наблюдалось снижение альбуминурии, выведения почками IgG, а также снижение общего белка в моче после приема эналаприла.</w:t>
      </w:r>
    </w:p>
    <w:p w14:paraId="066F1D77" w14:textId="77777777" w:rsidR="00C13EC2" w:rsidRDefault="00C13EC2" w:rsidP="00C13EC2">
      <w:pPr>
        <w:spacing w:line="360" w:lineRule="auto"/>
        <w:jc w:val="both"/>
      </w:pPr>
      <w:r>
        <w:t>При одновременном применении эналаприла и тиазидных диуретиков наблюдается более выраженное антигипертензивное действие. Эналаприл уменьшает или предупреждает развитие гипокалиемии, вызванной приемом тиазидов.</w:t>
      </w:r>
    </w:p>
    <w:p w14:paraId="6FCA0724" w14:textId="77777777" w:rsidR="00C13EC2" w:rsidRDefault="00C13EC2" w:rsidP="00C13EC2">
      <w:pPr>
        <w:spacing w:line="360" w:lineRule="auto"/>
        <w:jc w:val="both"/>
      </w:pPr>
      <w:r>
        <w:t>Терапия эналаприлом обычно не связана с нежелательным влиянием на концентрацию мочевой кислоты в плазме крови.</w:t>
      </w:r>
    </w:p>
    <w:p w14:paraId="3480D0A9" w14:textId="77777777" w:rsidR="00C13EC2" w:rsidRDefault="00C13EC2" w:rsidP="00C13EC2">
      <w:pPr>
        <w:spacing w:line="360" w:lineRule="auto"/>
        <w:jc w:val="both"/>
      </w:pPr>
      <w:r>
        <w:t>Терапия эналаприлом сопровождается благоприятным действием на соотношение фракций липопротеинов в плазме крови и отсутствием влияния или благоприятным действием на концентрацию общего холестерина.</w:t>
      </w:r>
    </w:p>
    <w:p w14:paraId="4CD1C27A" w14:textId="77777777" w:rsidR="00C13EC2" w:rsidRDefault="00C13EC2" w:rsidP="00C13EC2">
      <w:pPr>
        <w:spacing w:line="360" w:lineRule="auto"/>
        <w:jc w:val="both"/>
      </w:pPr>
      <w:r>
        <w:t>У пациентов с сердечной недостаточностью (СН) на фоне терапии сердечными гликозидами и диуретиками прием эналаприла вызывал снижение общего периферического сопротивления и АД. Сердечный выброс увеличивался, в то время как ЧСС (обычно повышенная у пациентов с СН) снижалась. Давление заклинивания в легочных капиллярах также снижалось. Толерантность к физической нагрузке и степень тяжести СН, оцененные по критериям Нью-Йоркской кардиологической ассоциации (NYHA), улучшались. Данные эффекты наблюдались при длительной терапии.</w:t>
      </w:r>
    </w:p>
    <w:p w14:paraId="261EAF6B" w14:textId="77777777" w:rsidR="00C13EC2" w:rsidRDefault="00C13EC2" w:rsidP="00C13EC2">
      <w:pPr>
        <w:spacing w:line="360" w:lineRule="auto"/>
        <w:jc w:val="both"/>
      </w:pPr>
      <w:r>
        <w:t>У пациентов с легкой и умеренной степенью тяжести СН эналаприл замедлял прогрессирование дилатации сердца и СН, что подтверждалось снижением конечно-диастолического и систолического объемов левого желудочка и улучшением фракции выброса левого желудочка.</w:t>
      </w:r>
    </w:p>
    <w:p w14:paraId="023C6155" w14:textId="77777777" w:rsidR="00C13EC2" w:rsidRDefault="00C13EC2" w:rsidP="00C13EC2">
      <w:pPr>
        <w:spacing w:line="360" w:lineRule="auto"/>
        <w:jc w:val="both"/>
      </w:pPr>
      <w:r>
        <w:t>Клинические данные показали, что эналаприл уменьшает частоту желудочковых аритмий у пациентов с СН, хотя основные механизмы и клиническое значение данного эффекта не известны. </w:t>
      </w:r>
    </w:p>
    <w:p w14:paraId="616EBBF7" w14:textId="77777777" w:rsidR="00C13EC2" w:rsidRPr="005730CA" w:rsidRDefault="00C13EC2" w:rsidP="00C13EC2">
      <w:pPr>
        <w:spacing w:line="360" w:lineRule="auto"/>
        <w:jc w:val="both"/>
        <w:rPr>
          <w:b/>
          <w:i/>
        </w:rPr>
      </w:pPr>
      <w:r w:rsidRPr="005730CA">
        <w:rPr>
          <w:b/>
          <w:i/>
        </w:rPr>
        <w:t>Фармакокинетика</w:t>
      </w:r>
    </w:p>
    <w:p w14:paraId="702DD483" w14:textId="77777777" w:rsidR="00C13EC2" w:rsidRPr="005730CA" w:rsidRDefault="00C13EC2" w:rsidP="00C13EC2">
      <w:pPr>
        <w:spacing w:line="360" w:lineRule="auto"/>
        <w:jc w:val="both"/>
        <w:rPr>
          <w:i/>
        </w:rPr>
      </w:pPr>
      <w:r w:rsidRPr="005730CA">
        <w:rPr>
          <w:i/>
        </w:rPr>
        <w:t>Всасывание</w:t>
      </w:r>
    </w:p>
    <w:p w14:paraId="293E9802" w14:textId="77777777" w:rsidR="00C13EC2" w:rsidRDefault="00C13EC2" w:rsidP="00C13EC2">
      <w:pPr>
        <w:spacing w:line="360" w:lineRule="auto"/>
        <w:jc w:val="both"/>
      </w:pPr>
      <w:r w:rsidRPr="00A63C2C">
        <w:t xml:space="preserve">После приема внутрь эналаприл быстро всасывается в желудочно-кишечном тракте. Максимальная концентрация эналаприла в сыворотке крови достигается в течение 1 ч после </w:t>
      </w:r>
      <w:r w:rsidRPr="00A63C2C">
        <w:lastRenderedPageBreak/>
        <w:t xml:space="preserve">приема внутрь. Степень всасывания эналаприла при приеме внутрь составляет приблизительно 60 %. Прием пищи не оказывает влияния на всасывание эналаприла. </w:t>
      </w:r>
    </w:p>
    <w:p w14:paraId="615A464A" w14:textId="77777777" w:rsidR="00C13EC2" w:rsidRDefault="00C13EC2" w:rsidP="00C13EC2">
      <w:pPr>
        <w:spacing w:line="360" w:lineRule="auto"/>
        <w:jc w:val="both"/>
      </w:pPr>
      <w:r w:rsidRPr="00A63C2C">
        <w:t xml:space="preserve">После всасывания эналаприл быстро гидролизуется с образованием активного метаболита эналаприлата - мощного ингибитора АПФ. Максимальная концентрация эналаприлата в сыворотке крови наблюдается приблизительно через 4 ч после приема дозы эналаприла внутрь. Продолжительность всасывания и гидролиза эналаприла сходна для различных рекомендованных терапевтических доз. У здоровых добровольцев с нормальной функцией почек равновесная концентрация эналаприлата в сыворотке крови достигается к 4 дню с начала приема эналаприла. </w:t>
      </w:r>
    </w:p>
    <w:p w14:paraId="5F475C3F" w14:textId="77777777" w:rsidR="00C13EC2" w:rsidRPr="005730CA" w:rsidRDefault="00C13EC2" w:rsidP="00C13EC2">
      <w:pPr>
        <w:spacing w:line="360" w:lineRule="auto"/>
        <w:jc w:val="both"/>
        <w:rPr>
          <w:i/>
        </w:rPr>
      </w:pPr>
      <w:r w:rsidRPr="005730CA">
        <w:rPr>
          <w:i/>
        </w:rPr>
        <w:t>Распределение</w:t>
      </w:r>
    </w:p>
    <w:p w14:paraId="4FAAD525" w14:textId="77777777" w:rsidR="00C13EC2" w:rsidRDefault="00C13EC2" w:rsidP="00C13EC2">
      <w:pPr>
        <w:spacing w:line="360" w:lineRule="auto"/>
        <w:jc w:val="both"/>
      </w:pPr>
      <w:r>
        <w:t>В диапазоне терапевтических доз связывание эналаприлата с белками плазмы крови не превышает 60 %.</w:t>
      </w:r>
    </w:p>
    <w:p w14:paraId="67BFDABC" w14:textId="77777777" w:rsidR="00C13EC2" w:rsidRPr="005730CA" w:rsidRDefault="00C13EC2" w:rsidP="00C13EC2">
      <w:pPr>
        <w:spacing w:line="360" w:lineRule="auto"/>
        <w:jc w:val="both"/>
        <w:rPr>
          <w:i/>
        </w:rPr>
      </w:pPr>
      <w:r w:rsidRPr="005730CA">
        <w:rPr>
          <w:i/>
        </w:rPr>
        <w:t>Метаболизм</w:t>
      </w:r>
    </w:p>
    <w:p w14:paraId="46374686" w14:textId="77777777" w:rsidR="00C13EC2" w:rsidRDefault="00C13EC2" w:rsidP="00C13EC2">
      <w:pPr>
        <w:spacing w:line="360" w:lineRule="auto"/>
        <w:jc w:val="both"/>
      </w:pPr>
      <w:r>
        <w:t>Нет данных о других значимых путях метаболизма эналаприла, кроме гидролиза до эналаприлата.</w:t>
      </w:r>
    </w:p>
    <w:p w14:paraId="51994F8E" w14:textId="77777777" w:rsidR="00C13EC2" w:rsidRPr="00FF2B89" w:rsidRDefault="00C13EC2" w:rsidP="00C13EC2">
      <w:pPr>
        <w:spacing w:line="360" w:lineRule="auto"/>
        <w:jc w:val="both"/>
        <w:rPr>
          <w:i/>
        </w:rPr>
      </w:pPr>
      <w:r w:rsidRPr="00FF2B89">
        <w:rPr>
          <w:i/>
        </w:rPr>
        <w:t>Выведение</w:t>
      </w:r>
    </w:p>
    <w:p w14:paraId="018DE25E" w14:textId="77777777" w:rsidR="00C13EC2" w:rsidRDefault="00C13EC2" w:rsidP="00C13EC2">
      <w:pPr>
        <w:spacing w:line="360" w:lineRule="auto"/>
        <w:jc w:val="both"/>
      </w:pPr>
      <w:r w:rsidRPr="00A63C2C">
        <w:t xml:space="preserve">Выведение эналаприла осуществляется преимущественно через почки. Основными метаболитами, определяемыми в моче, являются эналаприлат, составляющий приблизительно 40 % дозы, и неизмененный эналаприл (приблизительно 20 %). </w:t>
      </w:r>
    </w:p>
    <w:p w14:paraId="3B31D337" w14:textId="77777777" w:rsidR="00C13EC2" w:rsidRDefault="00C13EC2" w:rsidP="00C13EC2">
      <w:pPr>
        <w:spacing w:line="360" w:lineRule="auto"/>
        <w:jc w:val="both"/>
      </w:pPr>
      <w:r w:rsidRPr="00A63C2C">
        <w:t xml:space="preserve">Кривая концентрации эналаприлата в плазме крови имеет длительную конечную фазу, по-видимому, обусловленную его связыванием с АПФ. Период полувыведения эналаприлата при курсовом применении препарата внутрь составляет 11ч. </w:t>
      </w:r>
    </w:p>
    <w:p w14:paraId="0180BF20" w14:textId="77777777" w:rsidR="00C13EC2" w:rsidRPr="00FF2B89" w:rsidRDefault="00C13EC2" w:rsidP="00C13EC2">
      <w:pPr>
        <w:spacing w:line="360" w:lineRule="auto"/>
        <w:jc w:val="both"/>
        <w:rPr>
          <w:i/>
        </w:rPr>
      </w:pPr>
      <w:r w:rsidRPr="00FF2B89">
        <w:rPr>
          <w:i/>
        </w:rPr>
        <w:t>Фармакокинетика у особых групп пациентов</w:t>
      </w:r>
    </w:p>
    <w:p w14:paraId="4330DAE8" w14:textId="77777777" w:rsidR="00C13EC2" w:rsidRPr="00FF2B89" w:rsidRDefault="00C13EC2" w:rsidP="00C13EC2">
      <w:pPr>
        <w:spacing w:line="360" w:lineRule="auto"/>
        <w:jc w:val="both"/>
        <w:rPr>
          <w:i/>
        </w:rPr>
      </w:pPr>
      <w:r w:rsidRPr="00FF2B89">
        <w:rPr>
          <w:i/>
        </w:rPr>
        <w:t>Пациенты с нарушением функции почек</w:t>
      </w:r>
    </w:p>
    <w:p w14:paraId="444ADD89" w14:textId="77777777" w:rsidR="00C13EC2" w:rsidRDefault="00C13EC2" w:rsidP="00C13EC2">
      <w:pPr>
        <w:spacing w:line="360" w:lineRule="auto"/>
        <w:jc w:val="both"/>
      </w:pPr>
      <w:r>
        <w:t xml:space="preserve">Площадь под кривой «концентрация-время» (AUC) эналаприла и эналаприлата увеличивается у пациентов с почечной недостаточностью. У пациентов с легкой и умеренной степенью тяжести почечной недостаточности (клиренс креатинина (КК) 40-60 мл/мин) после приема эналаприла в дозе 5 мг 1 раз в сутки равновесное значение AUC эналаприлата было приблизительно в 2 раза выше, чем у пациентов с неизмененной функцией почек. У пациентов с тяжелой почечной недостаточностью (КК не более 30 мл/мин) значение AUC увеличивалось приблизительно в 8 раз. Эффективное время полувыведения эналаприлата после многократного применения эналаприла у пациентов с тяжелой степенью почечной недостаточности увеличивалось, и наступление равновесного </w:t>
      </w:r>
      <w:r>
        <w:lastRenderedPageBreak/>
        <w:t xml:space="preserve">состояния концентрации эналаприлата задерживалось (см. раздел «Способ применения и дозы»), Эналаприлат может быть выведен из общего кровотока с помощью процедуры гемодиализа. Клиренс при гемодиализе составляет 62 мл/мин. </w:t>
      </w:r>
    </w:p>
    <w:p w14:paraId="07219B41" w14:textId="77777777" w:rsidR="00C13EC2" w:rsidRPr="0044495B" w:rsidRDefault="00C13EC2" w:rsidP="00C13EC2">
      <w:pPr>
        <w:spacing w:line="360" w:lineRule="auto"/>
        <w:jc w:val="both"/>
        <w:rPr>
          <w:i/>
        </w:rPr>
      </w:pPr>
      <w:r w:rsidRPr="0044495B">
        <w:rPr>
          <w:i/>
        </w:rPr>
        <w:t>Лактация</w:t>
      </w:r>
    </w:p>
    <w:p w14:paraId="2F4DAEDB" w14:textId="77777777" w:rsidR="00C13EC2" w:rsidRDefault="00C13EC2" w:rsidP="00C13EC2">
      <w:pPr>
        <w:spacing w:line="360" w:lineRule="auto"/>
        <w:jc w:val="both"/>
      </w:pPr>
      <w:r>
        <w:t>После однократного применения внутрь эналаприла в дозе 20 мг у пациенток в послеродовом периоде средняя максимальная концентрация эналаприла в грудном молоке составила 1,7 мкг/л (от 0,54 до 5,9 мкг/л) через 4-6 ч после приема. Средняя максимальная концентрация эналаприлата составила 1,7 мкг/л (от 1,2 до 2,3 мкг/л) и наблюдалась в различное время в течение 24 ч после приема. С учетом данных о максимальных концентрациях в грудном молоке оценочное максимальное потребление эналаприла ребенком, находящимся на полном грудном вскармливании, составляет 0,16 % от дозы, рассчитанной с учетом массы тела матери.</w:t>
      </w:r>
    </w:p>
    <w:p w14:paraId="5239E1C5" w14:textId="77777777" w:rsidR="00C13EC2" w:rsidRDefault="00C13EC2" w:rsidP="00C13EC2">
      <w:pPr>
        <w:spacing w:line="360" w:lineRule="auto"/>
        <w:jc w:val="both"/>
      </w:pPr>
      <w:r>
        <w:t>У женщины, которая принимала эналаприл внутрь в дозе 10 мг 1 раз в сутки в течение 11 месяцев, максимальные концентрации эналаприла в грудном молоке составили 2 мкг/л через 4 ч после приема, максимальные концентрации эналаприлата - 0,75 мкг/л приблизительно через 9 ч после приема. Средняя концентрация в грудном молоке в течение 24 ч после приема эналаприла составила 1,44 мкг/л и эналаприлата - 0,63 мкг/л. У одной женщины, которая приняла эналаприл в дозе 5 мг однократно, и у двух женщин, которые приняли эналаприл в дозе 10 мг однократно, концентрация эналаприлата в грудном молоке была ниже определяемого уровня (менее 0,2 мкг/л) через 4 ч после приема. Концентрация эналаприла у них не определялась.</w:t>
      </w:r>
    </w:p>
    <w:p w14:paraId="55FC18F8" w14:textId="3B5E3673" w:rsidR="00C9604A" w:rsidRPr="00DC104E" w:rsidRDefault="00E109AD" w:rsidP="00A63C2C">
      <w:pPr>
        <w:spacing w:line="360" w:lineRule="auto"/>
        <w:jc w:val="both"/>
        <w:rPr>
          <w:b/>
        </w:rPr>
      </w:pPr>
      <w:r w:rsidRPr="00DC104E">
        <w:rPr>
          <w:b/>
        </w:rPr>
        <w:t>Показания к применению</w:t>
      </w:r>
    </w:p>
    <w:p w14:paraId="4DCBD5E8" w14:textId="391F7F93" w:rsidR="00A63C2C" w:rsidRDefault="00A63C2C" w:rsidP="00A63C2C">
      <w:pPr>
        <w:pStyle w:val="af"/>
        <w:numPr>
          <w:ilvl w:val="0"/>
          <w:numId w:val="5"/>
        </w:numPr>
        <w:spacing w:line="360" w:lineRule="auto"/>
        <w:jc w:val="both"/>
      </w:pPr>
      <w:r>
        <w:t>Эссенциальная гипертензия любой степени тяжести.</w:t>
      </w:r>
    </w:p>
    <w:p w14:paraId="1FD9FD06" w14:textId="086DF748" w:rsidR="00A63C2C" w:rsidRDefault="00A63C2C" w:rsidP="00A63C2C">
      <w:pPr>
        <w:pStyle w:val="af"/>
        <w:numPr>
          <w:ilvl w:val="0"/>
          <w:numId w:val="5"/>
        </w:numPr>
        <w:spacing w:line="360" w:lineRule="auto"/>
        <w:jc w:val="both"/>
      </w:pPr>
      <w:r>
        <w:t>Реноваскулярная гипертензия.</w:t>
      </w:r>
    </w:p>
    <w:p w14:paraId="772DD75B" w14:textId="7DB44691" w:rsidR="00A63C2C" w:rsidRDefault="00A63C2C" w:rsidP="00A63C2C">
      <w:pPr>
        <w:pStyle w:val="af"/>
        <w:numPr>
          <w:ilvl w:val="0"/>
          <w:numId w:val="5"/>
        </w:numPr>
        <w:spacing w:line="360" w:lineRule="auto"/>
        <w:jc w:val="both"/>
      </w:pPr>
      <w:r>
        <w:t>Сердечная недостаточность любой степени тяжести.</w:t>
      </w:r>
    </w:p>
    <w:p w14:paraId="2CC52A47" w14:textId="34ABAD2E" w:rsidR="00A63C2C" w:rsidRDefault="00A63C2C" w:rsidP="00A63C2C">
      <w:pPr>
        <w:spacing w:line="360" w:lineRule="auto"/>
        <w:jc w:val="both"/>
      </w:pPr>
      <w:r>
        <w:t>У пациентов с наличием клинических проявлений СН эналаприл также показан для:</w:t>
      </w:r>
    </w:p>
    <w:p w14:paraId="22F3A988" w14:textId="08041879" w:rsidR="00A63C2C" w:rsidRDefault="00A63C2C" w:rsidP="00A63C2C">
      <w:pPr>
        <w:pStyle w:val="af"/>
        <w:numPr>
          <w:ilvl w:val="0"/>
          <w:numId w:val="6"/>
        </w:numPr>
        <w:spacing w:line="360" w:lineRule="auto"/>
        <w:jc w:val="both"/>
      </w:pPr>
      <w:r>
        <w:t>повышения выживаемости пациентов;</w:t>
      </w:r>
    </w:p>
    <w:p w14:paraId="78BB81AC" w14:textId="202B8DBC" w:rsidR="00A63C2C" w:rsidRDefault="00A63C2C" w:rsidP="00A63C2C">
      <w:pPr>
        <w:pStyle w:val="af"/>
        <w:numPr>
          <w:ilvl w:val="0"/>
          <w:numId w:val="4"/>
        </w:numPr>
        <w:spacing w:line="360" w:lineRule="auto"/>
        <w:jc w:val="both"/>
      </w:pPr>
      <w:r>
        <w:t>замедления прогрессирования СН;</w:t>
      </w:r>
    </w:p>
    <w:p w14:paraId="4C6A9753" w14:textId="41E92C7B" w:rsidR="00A63C2C" w:rsidRDefault="00A63C2C" w:rsidP="00A63C2C">
      <w:pPr>
        <w:pStyle w:val="af"/>
        <w:numPr>
          <w:ilvl w:val="0"/>
          <w:numId w:val="4"/>
        </w:numPr>
        <w:spacing w:line="360" w:lineRule="auto"/>
        <w:jc w:val="both"/>
      </w:pPr>
      <w:r>
        <w:t>снижения частоты госпитализаций по поводу СН.</w:t>
      </w:r>
    </w:p>
    <w:p w14:paraId="303C1E19" w14:textId="295C3397" w:rsidR="00A63C2C" w:rsidRDefault="00A63C2C" w:rsidP="00A63C2C">
      <w:pPr>
        <w:pStyle w:val="af"/>
        <w:numPr>
          <w:ilvl w:val="0"/>
          <w:numId w:val="4"/>
        </w:numPr>
        <w:spacing w:line="360" w:lineRule="auto"/>
        <w:jc w:val="both"/>
      </w:pPr>
      <w:r>
        <w:t>Профилактика развития клинически выраженной сердечной недостаточности.</w:t>
      </w:r>
    </w:p>
    <w:p w14:paraId="0D5B81D9" w14:textId="77777777" w:rsidR="00A63C2C" w:rsidRDefault="00A63C2C" w:rsidP="00A63C2C">
      <w:pPr>
        <w:spacing w:line="360" w:lineRule="auto"/>
        <w:jc w:val="both"/>
      </w:pPr>
      <w:r>
        <w:t>У пациентов без клинических симптомов СН с дисфункцией левого желудочка эналаприл показан для:</w:t>
      </w:r>
    </w:p>
    <w:p w14:paraId="0A91105E" w14:textId="5133F794" w:rsidR="00A63C2C" w:rsidRDefault="00A63C2C" w:rsidP="00A63C2C">
      <w:pPr>
        <w:pStyle w:val="af"/>
        <w:numPr>
          <w:ilvl w:val="0"/>
          <w:numId w:val="3"/>
        </w:numPr>
        <w:spacing w:line="360" w:lineRule="auto"/>
        <w:jc w:val="both"/>
      </w:pPr>
      <w:r>
        <w:lastRenderedPageBreak/>
        <w:t>замедления развития клинических проявлений СН;</w:t>
      </w:r>
    </w:p>
    <w:p w14:paraId="7A2D91E7" w14:textId="51ADCCCB" w:rsidR="00A63C2C" w:rsidRDefault="00A63C2C" w:rsidP="00A63C2C">
      <w:pPr>
        <w:pStyle w:val="af"/>
        <w:numPr>
          <w:ilvl w:val="0"/>
          <w:numId w:val="3"/>
        </w:numPr>
        <w:spacing w:line="360" w:lineRule="auto"/>
        <w:jc w:val="both"/>
      </w:pPr>
      <w:r>
        <w:t>снижения частоты госпитализаций по поводу СН.</w:t>
      </w:r>
    </w:p>
    <w:p w14:paraId="41434E1E" w14:textId="13967465" w:rsidR="00A63C2C" w:rsidRDefault="00A63C2C" w:rsidP="00A63C2C">
      <w:pPr>
        <w:spacing w:line="360" w:lineRule="auto"/>
        <w:jc w:val="both"/>
      </w:pPr>
      <w:r>
        <w:t>Профилактика коронарной ишемии у пациентов с дисфункцией левого желудочка.</w:t>
      </w:r>
    </w:p>
    <w:p w14:paraId="4E18B0D6" w14:textId="77777777" w:rsidR="00A63C2C" w:rsidRDefault="00A63C2C" w:rsidP="00A63C2C">
      <w:pPr>
        <w:spacing w:line="360" w:lineRule="auto"/>
        <w:jc w:val="both"/>
      </w:pPr>
      <w:r>
        <w:t>Эналаприл показан для:</w:t>
      </w:r>
    </w:p>
    <w:p w14:paraId="2444D6B6" w14:textId="0DFC08B5" w:rsidR="00A63C2C" w:rsidRDefault="00A63C2C" w:rsidP="00A63C2C">
      <w:pPr>
        <w:pStyle w:val="af"/>
        <w:numPr>
          <w:ilvl w:val="0"/>
          <w:numId w:val="2"/>
        </w:numPr>
        <w:spacing w:line="360" w:lineRule="auto"/>
        <w:jc w:val="both"/>
      </w:pPr>
      <w:r>
        <w:t>уменьшения частоты развития инфаркта миокарда;</w:t>
      </w:r>
    </w:p>
    <w:p w14:paraId="18E6BC35" w14:textId="77777777" w:rsidR="00A63C2C" w:rsidRDefault="00A63C2C" w:rsidP="00A63C2C">
      <w:pPr>
        <w:pStyle w:val="af"/>
        <w:numPr>
          <w:ilvl w:val="0"/>
          <w:numId w:val="2"/>
        </w:numPr>
        <w:spacing w:line="360" w:lineRule="auto"/>
        <w:jc w:val="both"/>
      </w:pPr>
      <w:r>
        <w:t>снижения частоты госпитализаций по поводу нестабильной стенокардии.</w:t>
      </w:r>
    </w:p>
    <w:p w14:paraId="71E1CC94" w14:textId="66CEF66C" w:rsidR="007E28DF" w:rsidRDefault="007E28DF" w:rsidP="00A63C2C">
      <w:pPr>
        <w:spacing w:line="360" w:lineRule="auto"/>
        <w:jc w:val="both"/>
        <w:rPr>
          <w:b/>
        </w:rPr>
      </w:pPr>
      <w:r w:rsidRPr="00DC104E">
        <w:rPr>
          <w:b/>
        </w:rPr>
        <w:t>П</w:t>
      </w:r>
      <w:r w:rsidR="00E109AD" w:rsidRPr="00DC104E">
        <w:rPr>
          <w:b/>
        </w:rPr>
        <w:t>ротивопоказания</w:t>
      </w:r>
    </w:p>
    <w:p w14:paraId="36685559" w14:textId="686EE267" w:rsidR="000666B8" w:rsidRDefault="000666B8" w:rsidP="000666B8">
      <w:pPr>
        <w:pStyle w:val="af"/>
        <w:numPr>
          <w:ilvl w:val="0"/>
          <w:numId w:val="7"/>
        </w:numPr>
        <w:spacing w:line="360" w:lineRule="auto"/>
        <w:jc w:val="both"/>
      </w:pPr>
      <w:r>
        <w:t>Повышенная чувствительность к любому из компонентов препарата.</w:t>
      </w:r>
    </w:p>
    <w:p w14:paraId="5B9EFBD1" w14:textId="00F08906" w:rsidR="000666B8" w:rsidRDefault="000666B8" w:rsidP="000666B8">
      <w:pPr>
        <w:pStyle w:val="af"/>
        <w:numPr>
          <w:ilvl w:val="0"/>
          <w:numId w:val="7"/>
        </w:numPr>
        <w:spacing w:line="360" w:lineRule="auto"/>
        <w:jc w:val="both"/>
      </w:pPr>
      <w:r>
        <w:t>Ангионевротический отек в анамнезе, связанный с приемом ингибиторов АПФ, а также наследственный или идиопатический ангионевротический отек.</w:t>
      </w:r>
    </w:p>
    <w:p w14:paraId="7D2F5B83" w14:textId="6F1E8C3D" w:rsidR="000666B8" w:rsidRDefault="007F47C5" w:rsidP="007F47C5">
      <w:pPr>
        <w:pStyle w:val="af"/>
        <w:numPr>
          <w:ilvl w:val="0"/>
          <w:numId w:val="7"/>
        </w:numPr>
        <w:spacing w:line="360" w:lineRule="auto"/>
        <w:ind w:left="714" w:hanging="357"/>
      </w:pPr>
      <w:r>
        <w:t>Одновременное применение с алис</w:t>
      </w:r>
      <w:r w:rsidRPr="007F47C5">
        <w:t>кирен</w:t>
      </w:r>
      <w:r>
        <w:t>ом или алискиренсодержащими пре</w:t>
      </w:r>
      <w:r w:rsidRPr="007F47C5">
        <w:t>паратами у пациентов с сахарным диабетом и/и</w:t>
      </w:r>
      <w:r>
        <w:t>ли умеренными или тяжелыми нару</w:t>
      </w:r>
      <w:r w:rsidRPr="007F47C5">
        <w:t>шениями функции почек (СКФ менее 60 мл/мин/1,73 м</w:t>
      </w:r>
      <w:r w:rsidRPr="007F47C5">
        <w:rPr>
          <w:vertAlign w:val="superscript"/>
        </w:rPr>
        <w:t>2</w:t>
      </w:r>
      <w:r w:rsidRPr="007F47C5">
        <w:t xml:space="preserve"> площади поверхности тела) (см.</w:t>
      </w:r>
      <w:r>
        <w:t xml:space="preserve"> раздел «Взаимодействие с други</w:t>
      </w:r>
      <w:r w:rsidRPr="007F47C5">
        <w:t>ми лекарственными средствами», «Особые указания»).</w:t>
      </w:r>
    </w:p>
    <w:p w14:paraId="1CD6A196" w14:textId="26C56B78" w:rsidR="000666B8" w:rsidRDefault="000666B8" w:rsidP="000666B8">
      <w:pPr>
        <w:pStyle w:val="af"/>
        <w:numPr>
          <w:ilvl w:val="0"/>
          <w:numId w:val="7"/>
        </w:numPr>
        <w:spacing w:line="360" w:lineRule="auto"/>
        <w:jc w:val="both"/>
      </w:pPr>
      <w:r>
        <w:t>Одновременное применение с антагонистами рецепторов ангиотензина II (АРА II) у пациентов с диабетической нефропатией.</w:t>
      </w:r>
    </w:p>
    <w:p w14:paraId="42A54F69" w14:textId="1F0D7E71" w:rsidR="007F47C5" w:rsidRDefault="007F47C5" w:rsidP="007F47C5">
      <w:pPr>
        <w:pStyle w:val="af"/>
        <w:numPr>
          <w:ilvl w:val="0"/>
          <w:numId w:val="7"/>
        </w:numPr>
        <w:spacing w:line="360" w:lineRule="auto"/>
        <w:jc w:val="both"/>
      </w:pPr>
      <w:r>
        <w:t>Одновременное применение с инги</w:t>
      </w:r>
      <w:r>
        <w:softHyphen/>
        <w:t>биторами неприлизина (нейтральной эндо- пептидазы), например, сакубитрилом. При переходе на ингибиторы неприлизина и препараты сакубитрила/валсартана, следует прекратить прием Эналаприла как минимум за 36 ч до приема первой дозы данных препаратов (см. раздел «В</w:t>
      </w:r>
      <w:r w:rsidR="006861C1">
        <w:t>заимодействие с другими лекарственными средствами»).</w:t>
      </w:r>
    </w:p>
    <w:p w14:paraId="7101A7AB" w14:textId="7EB8AE96" w:rsidR="000666B8" w:rsidRDefault="000666B8" w:rsidP="000666B8">
      <w:pPr>
        <w:pStyle w:val="af"/>
        <w:numPr>
          <w:ilvl w:val="0"/>
          <w:numId w:val="7"/>
        </w:numPr>
        <w:spacing w:line="360" w:lineRule="auto"/>
        <w:jc w:val="both"/>
      </w:pPr>
      <w:r>
        <w:t>Возраст до 18 лет (эффективность и безопасность не установлены).</w:t>
      </w:r>
    </w:p>
    <w:p w14:paraId="678A4374" w14:textId="0E0EAD97" w:rsidR="000666B8" w:rsidRDefault="000666B8" w:rsidP="000666B8">
      <w:pPr>
        <w:pStyle w:val="af"/>
        <w:numPr>
          <w:ilvl w:val="0"/>
          <w:numId w:val="7"/>
        </w:numPr>
        <w:spacing w:line="360" w:lineRule="auto"/>
        <w:jc w:val="both"/>
      </w:pPr>
      <w:r>
        <w:t>Беременность и период грудного вскармливания.</w:t>
      </w:r>
    </w:p>
    <w:p w14:paraId="52174943" w14:textId="7F7BF39B" w:rsidR="000666B8" w:rsidRDefault="000666B8" w:rsidP="000666B8">
      <w:pPr>
        <w:pStyle w:val="af"/>
        <w:numPr>
          <w:ilvl w:val="0"/>
          <w:numId w:val="7"/>
        </w:numPr>
        <w:spacing w:line="360" w:lineRule="auto"/>
        <w:jc w:val="both"/>
      </w:pPr>
      <w:r>
        <w:t>Наследственная непереносимость лактозы, дефицит лактазы, синдром глюкозо-галактозной мальабсорбции.</w:t>
      </w:r>
    </w:p>
    <w:p w14:paraId="79EBD409" w14:textId="77777777" w:rsidR="00C23EEB" w:rsidRPr="002133A8" w:rsidRDefault="00C23EEB" w:rsidP="00C2362E">
      <w:pPr>
        <w:spacing w:line="360" w:lineRule="auto"/>
        <w:jc w:val="both"/>
      </w:pPr>
      <w:r w:rsidRPr="002133A8">
        <w:rPr>
          <w:b/>
        </w:rPr>
        <w:t>С осторожностью</w:t>
      </w:r>
      <w:r w:rsidRPr="002133A8">
        <w:t xml:space="preserve"> </w:t>
      </w:r>
    </w:p>
    <w:p w14:paraId="67325CB8" w14:textId="77777777" w:rsidR="00C23EEB" w:rsidRDefault="00C23EEB" w:rsidP="00C2362E">
      <w:pPr>
        <w:spacing w:line="360" w:lineRule="auto"/>
        <w:jc w:val="both"/>
      </w:pPr>
      <w:r w:rsidRPr="000666B8">
        <w:t xml:space="preserve">Двусторонний стеноз почечных артерий или стеноз артерии единственной почки; состояния после трансплантации почки; аортальный или митральный стеноз; гипертрофическая обструктивная кардиомиопатия; ишемическая болезнь сердца или цереброваскулярные заболевания; почечная недостаточность; реноваскулярная гипертензия; угнетение костномозгового кроветворения; системные заболевания </w:t>
      </w:r>
      <w:r w:rsidRPr="000666B8">
        <w:lastRenderedPageBreak/>
        <w:t>соединительной ткани (системная красная волчанка, склеродермия и др.), иммуносупрессивная терапия, лечение с применением аллопуринола или прокаинамида, или комбинация указанных осложняющих факторов; печеночная недостаточность; сахарный диабет; гиперкалиемия; при одновременном применении с калийсберегающими диуретиками, препаратами калия, калийсодержащими заменителями поваренной соли и препаратами лития; при проведении процедуры афереза липопротеинов низкой плотности (ЛПНП-афереза) с использованием декстран сульфата; отягощенный аллергологический анамнез или ангионевротический отек в анамнезе; состояния, сопровождающиеся снижением объема циркулирующей крови (в том числе при терапии диуретиками, соблюдении диеты с ограничением поваренной соли, диализе, диарее или рвоте); во время проведения десенсибилизации аллергеном из яда перепончатокрылых; у пациентов, находящихся на диализе с применением высокопроточных мембран (таких как AN 69®); у пациентов после больших хирургических вмешательств или при проведении общей анестезии; у пациентов негроидной расы.</w:t>
      </w:r>
    </w:p>
    <w:p w14:paraId="121BFE00" w14:textId="77777777" w:rsidR="00C23EEB" w:rsidRPr="000666B8" w:rsidRDefault="00C23EEB" w:rsidP="00C2362E">
      <w:pPr>
        <w:spacing w:line="360" w:lineRule="auto"/>
        <w:jc w:val="both"/>
        <w:rPr>
          <w:b/>
        </w:rPr>
      </w:pPr>
      <w:r w:rsidRPr="000666B8">
        <w:rPr>
          <w:b/>
        </w:rPr>
        <w:t>Применение при беременности и в период грудного вскармливания</w:t>
      </w:r>
      <w:r w:rsidRPr="000666B8">
        <w:rPr>
          <w:b/>
        </w:rPr>
        <w:tab/>
      </w:r>
    </w:p>
    <w:p w14:paraId="56EC02D7" w14:textId="77777777" w:rsidR="00C23EEB" w:rsidRPr="000666B8" w:rsidRDefault="00C23EEB" w:rsidP="00C2362E">
      <w:pPr>
        <w:spacing w:line="360" w:lineRule="auto"/>
        <w:jc w:val="both"/>
      </w:pPr>
      <w:r w:rsidRPr="000666B8">
        <w:t>Применение эналаприла во время беременности не рекомендуется. При диагностировании беременности прием эналаприла должен быть немедленно прекращен, если только прием препарата не считается жизненно необходимым для матери.</w:t>
      </w:r>
    </w:p>
    <w:p w14:paraId="3735DED4" w14:textId="77777777" w:rsidR="00C23EEB" w:rsidRPr="000666B8" w:rsidRDefault="00C23EEB" w:rsidP="00C2362E">
      <w:pPr>
        <w:spacing w:line="360" w:lineRule="auto"/>
        <w:jc w:val="both"/>
      </w:pPr>
      <w:r w:rsidRPr="000666B8">
        <w:t>В опубликованных результатах ретроспективного эпидемиологического исследования новорожденных, матери которых принимали ингибиторы АПФ в течение первого триместра беременности, отмечали повышенный риск развития серьезных врожденных пороков развития по сравнению с новорожденными, чьи матери не принимали ингибиторы АПФ в течение первого триместра беременности. Количество случаев врожденных дефектов было низким, и результаты данного исследования не были повторно подтверждены.</w:t>
      </w:r>
    </w:p>
    <w:p w14:paraId="28B233FF" w14:textId="77777777" w:rsidR="00C23EEB" w:rsidRPr="000666B8" w:rsidRDefault="00C23EEB" w:rsidP="00C2362E">
      <w:pPr>
        <w:spacing w:line="360" w:lineRule="auto"/>
        <w:jc w:val="both"/>
      </w:pPr>
      <w:r w:rsidRPr="000666B8">
        <w:t>Ингибиторы АПФ могут вызывать заболевание или гибель плода или новорожденного при применении их беременными во время второго и третьего триместров беременности. Применение ингибиторов АПФ в данные периоды сопровождалось отрицательным воздействием на плод и новорожденного, которое проявлялось в виде артериальной гипотензии, почечной недостаточности, гиперкалиемии и/или гипоплазии костей черепа у новорожденного. Также сообщалось о недоношенности, задержке внутриутробного развития плода и незаращении артериального (Боталлова) протока, однако неясно, были ли эти случаи связаны с действием ингибиторов АПФ.</w:t>
      </w:r>
    </w:p>
    <w:p w14:paraId="57819454" w14:textId="77777777" w:rsidR="00C23EEB" w:rsidRPr="000666B8" w:rsidRDefault="00C23EEB" w:rsidP="00C2362E">
      <w:pPr>
        <w:spacing w:line="360" w:lineRule="auto"/>
        <w:jc w:val="both"/>
      </w:pPr>
      <w:r w:rsidRPr="000666B8">
        <w:lastRenderedPageBreak/>
        <w:t>Возможно, развитие олигогидрамниона происходит вследствие снижения функции почек плода. Это осложнение может приводить к контрактуре конечностей, деформации костей черепа, включая его лицевую часть, гипоплазии легких плода. При назначении эналаприла во время беременности необходимо информировать пациентку относительно потенциального риска для плода.</w:t>
      </w:r>
    </w:p>
    <w:p w14:paraId="21243A6D" w14:textId="77777777" w:rsidR="00C23EEB" w:rsidRPr="000666B8" w:rsidRDefault="00C23EEB" w:rsidP="00C2362E">
      <w:pPr>
        <w:spacing w:line="360" w:lineRule="auto"/>
        <w:jc w:val="both"/>
      </w:pPr>
      <w:r w:rsidRPr="000666B8">
        <w:t>Данные нежелательные эффекты на эмбрион и плод, по-видимому, не являются результатом внутриутробного действия ингибиторов АПФ во время первого триместра беременности.</w:t>
      </w:r>
    </w:p>
    <w:p w14:paraId="05E22E42" w14:textId="77777777" w:rsidR="00C23EEB" w:rsidRPr="000666B8" w:rsidRDefault="00C23EEB" w:rsidP="00C2362E">
      <w:pPr>
        <w:spacing w:line="360" w:lineRule="auto"/>
        <w:jc w:val="both"/>
      </w:pPr>
      <w:r w:rsidRPr="000666B8">
        <w:t>В тех редких случаях, когда применение ингибитора АПФ во время беременности считается необходимым, следует проводить периодические ультразвуковые обследования для оценки индекса амниотической жидкости. В случае выявления в ходе ультразвукового обследования олигогидрамниона необходимо прекратить прием эналаприла, если только прием препарата не считается жизненно необходимым для матери. Тем не менее, и пациентка, и врач должны знать, что олигогидрамнион развивается при необратимом повреждении плода.</w:t>
      </w:r>
    </w:p>
    <w:p w14:paraId="51155877" w14:textId="77777777" w:rsidR="00C23EEB" w:rsidRPr="000666B8" w:rsidRDefault="00C23EEB" w:rsidP="00C2362E">
      <w:pPr>
        <w:spacing w:line="360" w:lineRule="auto"/>
        <w:jc w:val="both"/>
      </w:pPr>
      <w:r w:rsidRPr="000666B8">
        <w:t>Если ингибиторы АПФ применяются во время беременности и наблюдается развитие олигогидрамниона, то в зависимости от недели беременности для оценки функционального состояния плода может быть необходимо проведение стрессового теста, нестрессового теста или определение биофизического профиля плода.</w:t>
      </w:r>
    </w:p>
    <w:p w14:paraId="3AEFB9CD" w14:textId="77777777" w:rsidR="00C23EEB" w:rsidRPr="000666B8" w:rsidRDefault="00C23EEB" w:rsidP="00C2362E">
      <w:pPr>
        <w:spacing w:line="360" w:lineRule="auto"/>
        <w:jc w:val="both"/>
      </w:pPr>
      <w:r w:rsidRPr="000666B8">
        <w:t>Новорожденные, чьи матери принимали эналаприл во время беременности, должны быть тщательно обследованы в отношении выявления артериальной гипотензии, олигурии и гиперкалиемии. При развитии олигурии особое внимание должно быть направлено на поддержание АД и почечной перфузии. Эналаприл проникает через плацентарный барьер. Он может быть частично удален из кровообращения новорожденного с помощью перитонеального диализа. Теоретически он также может быть удален посредством обменного переливания крови.</w:t>
      </w:r>
    </w:p>
    <w:p w14:paraId="19B7CEE2" w14:textId="77777777" w:rsidR="00C23EEB" w:rsidRPr="000666B8" w:rsidRDefault="00C23EEB" w:rsidP="00C2362E">
      <w:pPr>
        <w:spacing w:line="360" w:lineRule="auto"/>
        <w:jc w:val="both"/>
      </w:pPr>
      <w:r w:rsidRPr="000666B8">
        <w:t>Эналаприл и эналаприлат выделяются с грудным молоком матери в следовых количествах. В случае необходимости применения препарата в период грудного вскармливания пациентка должна прекратить кормление грудью.</w:t>
      </w:r>
    </w:p>
    <w:p w14:paraId="3B886CAC" w14:textId="77777777" w:rsidR="00C23EEB" w:rsidRDefault="00C23EEB" w:rsidP="00C2362E">
      <w:pPr>
        <w:spacing w:line="360" w:lineRule="auto"/>
        <w:jc w:val="both"/>
        <w:rPr>
          <w:b/>
        </w:rPr>
      </w:pPr>
      <w:r w:rsidRPr="00DC104E">
        <w:rPr>
          <w:b/>
        </w:rPr>
        <w:t>Способ применения и дозы</w:t>
      </w:r>
    </w:p>
    <w:p w14:paraId="7BBDE1A4" w14:textId="77777777" w:rsidR="00C23EEB" w:rsidRDefault="00C23EEB" w:rsidP="00C2362E">
      <w:pPr>
        <w:spacing w:line="360" w:lineRule="auto"/>
        <w:jc w:val="both"/>
      </w:pPr>
      <w:r>
        <w:t xml:space="preserve">Внутрь, независимо от приема пищи. </w:t>
      </w:r>
    </w:p>
    <w:p w14:paraId="3E8644A4" w14:textId="77777777" w:rsidR="00C23EEB" w:rsidRPr="000666B8" w:rsidRDefault="00C23EEB" w:rsidP="00C2362E">
      <w:pPr>
        <w:spacing w:line="360" w:lineRule="auto"/>
        <w:jc w:val="both"/>
        <w:rPr>
          <w:i/>
        </w:rPr>
      </w:pPr>
      <w:r w:rsidRPr="000666B8">
        <w:rPr>
          <w:i/>
        </w:rPr>
        <w:t>Эссенциалъная гипертензия</w:t>
      </w:r>
    </w:p>
    <w:p w14:paraId="40042F5B" w14:textId="77777777" w:rsidR="00C23EEB" w:rsidRDefault="00C23EEB" w:rsidP="00C2362E">
      <w:pPr>
        <w:spacing w:line="360" w:lineRule="auto"/>
        <w:jc w:val="both"/>
      </w:pPr>
      <w:r>
        <w:lastRenderedPageBreak/>
        <w:t>Начальная доза составляет 10-20 мг в зависимости от степени тяжести АГ и применяется 1 раз в сутки. При мягкой степени АГ рекомендуемая начальная доза составляет 10 мг 1 раз в сутки. При других степенях АГ начальная доза составляет 20 мг 1 раз в сутки. Поддерживающая доза - 1 таблетка 20 мг 1 раз в сутки. Дозировка подбирается индивидуально для каждого пациента, но максимальная доза не должна превышать 40 мг в сутки.</w:t>
      </w:r>
    </w:p>
    <w:p w14:paraId="7B997F7C" w14:textId="77777777" w:rsidR="00C23EEB" w:rsidRPr="000666B8" w:rsidRDefault="00C23EEB" w:rsidP="00C2362E">
      <w:pPr>
        <w:spacing w:line="360" w:lineRule="auto"/>
        <w:jc w:val="both"/>
        <w:rPr>
          <w:i/>
        </w:rPr>
      </w:pPr>
      <w:r w:rsidRPr="000666B8">
        <w:rPr>
          <w:i/>
        </w:rPr>
        <w:t>Реноваскулярная гипертензия</w:t>
      </w:r>
    </w:p>
    <w:p w14:paraId="4ABCB88C" w14:textId="77777777" w:rsidR="00C23EEB" w:rsidRDefault="00C23EEB" w:rsidP="00C2362E">
      <w:pPr>
        <w:spacing w:line="360" w:lineRule="auto"/>
        <w:jc w:val="both"/>
      </w:pPr>
      <w:r>
        <w:t xml:space="preserve">Поскольку у пациентов данной группы АД и почечная функция могут быть особенно чувствительны к ингибированию АПФ, терапию начинают с низкой начальной дозы - 5 мг и менее. Затем доза подбирается в соответствии с потребностями и состоянием пациента. Обычно эффективная доза составляет 20 мг 1 раз в сутки при ежедневном приеме. Следует соблюдать осторожность при применении эналаприла у пациентов, которые незадолго до этого принимали диуретики (см. ниже Сопутствующее лечение АГ диуретиками). </w:t>
      </w:r>
      <w:r w:rsidRPr="000666B8">
        <w:rPr>
          <w:i/>
        </w:rPr>
        <w:t>Сопутствующее лечение АГ диуретиками</w:t>
      </w:r>
    </w:p>
    <w:p w14:paraId="4500C07B" w14:textId="77777777" w:rsidR="00C23EEB" w:rsidRDefault="00C23EEB" w:rsidP="00C2362E">
      <w:pPr>
        <w:spacing w:line="360" w:lineRule="auto"/>
        <w:jc w:val="both"/>
      </w:pPr>
      <w:r>
        <w:t>После первого приема эналаприла может развиться симптоматическая артериальная гипотензия. Такой эффект наиболее вероятен у пациентов, которые принимают диуретики. Препарат рекомендуется применять с осторожностью, так как у данных пациентов может наблюдаться нарушение водно-электролитного баланса. Прием диуретиков следует прекратить за 2-3 дня до начала терапии эналаприлом. Если это невозможно, то начальную дозу эналаприла следует снизить (до 5 мг или менее) для определения первичного эффекта препарата на АД. Далее дозировку следует подбирать с учетом потребности и состояния пациента.</w:t>
      </w:r>
    </w:p>
    <w:p w14:paraId="48E4FE8F" w14:textId="77777777" w:rsidR="00C23EEB" w:rsidRPr="000666B8" w:rsidRDefault="00C23EEB" w:rsidP="00C2362E">
      <w:pPr>
        <w:spacing w:line="360" w:lineRule="auto"/>
        <w:jc w:val="both"/>
        <w:rPr>
          <w:i/>
        </w:rPr>
      </w:pPr>
      <w:r w:rsidRPr="000666B8">
        <w:rPr>
          <w:i/>
        </w:rPr>
        <w:t>Дозировка при почечной недостаточности </w:t>
      </w:r>
    </w:p>
    <w:p w14:paraId="14067F8E" w14:textId="77777777" w:rsidR="00C23EEB" w:rsidRDefault="00C23EEB" w:rsidP="00C23EEB">
      <w:pPr>
        <w:spacing w:line="360" w:lineRule="auto"/>
        <w:jc w:val="both"/>
      </w:pPr>
      <w:r>
        <w:t>Должен быть увеличен интервал между приемами эналаприла и/или уменьшена доза.</w:t>
      </w:r>
    </w:p>
    <w:tbl>
      <w:tblPr>
        <w:tblW w:w="0" w:type="auto"/>
        <w:tblLayout w:type="fixed"/>
        <w:tblCellMar>
          <w:left w:w="10" w:type="dxa"/>
          <w:right w:w="10" w:type="dxa"/>
        </w:tblCellMar>
        <w:tblLook w:val="04A0" w:firstRow="1" w:lastRow="0" w:firstColumn="1" w:lastColumn="0" w:noHBand="0" w:noVBand="1"/>
      </w:tblPr>
      <w:tblGrid>
        <w:gridCol w:w="3686"/>
        <w:gridCol w:w="3125"/>
      </w:tblGrid>
      <w:tr w:rsidR="000666B8" w14:paraId="459CBF2C" w14:textId="77777777" w:rsidTr="000666B8">
        <w:trPr>
          <w:trHeight w:val="427"/>
        </w:trPr>
        <w:tc>
          <w:tcPr>
            <w:tcW w:w="3686" w:type="dxa"/>
            <w:tcBorders>
              <w:top w:val="single" w:sz="4" w:space="0" w:color="auto"/>
              <w:left w:val="single" w:sz="4" w:space="0" w:color="auto"/>
              <w:bottom w:val="single" w:sz="4" w:space="0" w:color="auto"/>
              <w:right w:val="single" w:sz="4" w:space="0" w:color="auto"/>
            </w:tcBorders>
            <w:shd w:val="clear" w:color="auto" w:fill="FFFFFF"/>
          </w:tcPr>
          <w:p w14:paraId="4DB4A8D1" w14:textId="77777777" w:rsidR="000666B8" w:rsidRDefault="000666B8" w:rsidP="000666B8">
            <w:pPr>
              <w:pStyle w:val="21"/>
              <w:shd w:val="clear" w:color="auto" w:fill="auto"/>
              <w:spacing w:before="0" w:after="0" w:line="240" w:lineRule="auto"/>
              <w:ind w:left="260"/>
              <w:jc w:val="left"/>
            </w:pPr>
            <w:r>
              <w:t>Клиренс креатинина, мл/мин</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26BD4214" w14:textId="77777777" w:rsidR="000666B8" w:rsidRDefault="000666B8" w:rsidP="000666B8">
            <w:pPr>
              <w:pStyle w:val="21"/>
              <w:shd w:val="clear" w:color="auto" w:fill="auto"/>
              <w:spacing w:before="0" w:after="0" w:line="240" w:lineRule="auto"/>
              <w:ind w:left="220"/>
              <w:jc w:val="left"/>
            </w:pPr>
            <w:r>
              <w:t>Начальная доза, мг/день</w:t>
            </w:r>
          </w:p>
        </w:tc>
      </w:tr>
      <w:tr w:rsidR="000666B8" w14:paraId="0D201D32" w14:textId="77777777" w:rsidTr="000666B8">
        <w:trPr>
          <w:trHeight w:val="427"/>
        </w:trPr>
        <w:tc>
          <w:tcPr>
            <w:tcW w:w="3686" w:type="dxa"/>
            <w:tcBorders>
              <w:top w:val="single" w:sz="4" w:space="0" w:color="auto"/>
              <w:left w:val="single" w:sz="4" w:space="0" w:color="auto"/>
              <w:bottom w:val="single" w:sz="4" w:space="0" w:color="auto"/>
              <w:right w:val="single" w:sz="4" w:space="0" w:color="auto"/>
            </w:tcBorders>
            <w:shd w:val="clear" w:color="auto" w:fill="FFFFFF"/>
          </w:tcPr>
          <w:p w14:paraId="295EE6E2" w14:textId="77777777" w:rsidR="000666B8" w:rsidRDefault="000666B8" w:rsidP="000666B8">
            <w:pPr>
              <w:pStyle w:val="11"/>
              <w:shd w:val="clear" w:color="auto" w:fill="auto"/>
              <w:spacing w:before="0" w:after="0" w:line="240" w:lineRule="auto"/>
              <w:ind w:left="1040" w:firstLine="0"/>
            </w:pPr>
            <w:r>
              <w:t>&lt;80 &gt;30 мл/мин</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38CC3528" w14:textId="77777777" w:rsidR="000666B8" w:rsidRDefault="000666B8" w:rsidP="000666B8">
            <w:pPr>
              <w:pStyle w:val="11"/>
              <w:shd w:val="clear" w:color="auto" w:fill="auto"/>
              <w:spacing w:before="0" w:after="0" w:line="240" w:lineRule="auto"/>
              <w:ind w:left="1240" w:firstLine="0"/>
            </w:pPr>
            <w:r>
              <w:t>5-10 мг</w:t>
            </w:r>
          </w:p>
        </w:tc>
      </w:tr>
      <w:tr w:rsidR="000666B8" w14:paraId="3120ECCC" w14:textId="77777777" w:rsidTr="000666B8">
        <w:trPr>
          <w:trHeight w:val="427"/>
        </w:trPr>
        <w:tc>
          <w:tcPr>
            <w:tcW w:w="3686" w:type="dxa"/>
            <w:tcBorders>
              <w:top w:val="single" w:sz="4" w:space="0" w:color="auto"/>
              <w:left w:val="single" w:sz="4" w:space="0" w:color="auto"/>
              <w:bottom w:val="single" w:sz="4" w:space="0" w:color="auto"/>
              <w:right w:val="single" w:sz="4" w:space="0" w:color="auto"/>
            </w:tcBorders>
            <w:shd w:val="clear" w:color="auto" w:fill="FFFFFF"/>
          </w:tcPr>
          <w:p w14:paraId="240CBC97" w14:textId="77777777" w:rsidR="000666B8" w:rsidRDefault="000666B8" w:rsidP="000666B8">
            <w:pPr>
              <w:pStyle w:val="11"/>
              <w:shd w:val="clear" w:color="auto" w:fill="auto"/>
              <w:spacing w:before="0" w:after="0" w:line="240" w:lineRule="auto"/>
              <w:ind w:left="1040" w:firstLine="0"/>
            </w:pPr>
            <w:r>
              <w:t>&lt;30 &gt;10 мл/мин</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17ABB3E4" w14:textId="77777777" w:rsidR="000666B8" w:rsidRDefault="000666B8" w:rsidP="000666B8">
            <w:pPr>
              <w:pStyle w:val="11"/>
              <w:shd w:val="clear" w:color="auto" w:fill="auto"/>
              <w:spacing w:before="0" w:after="0" w:line="240" w:lineRule="auto"/>
              <w:ind w:left="1240" w:firstLine="0"/>
            </w:pPr>
            <w:r>
              <w:t>2,5 мг</w:t>
            </w:r>
          </w:p>
        </w:tc>
      </w:tr>
      <w:tr w:rsidR="000666B8" w14:paraId="700FFA66" w14:textId="77777777" w:rsidTr="000666B8">
        <w:trPr>
          <w:trHeight w:val="432"/>
        </w:trPr>
        <w:tc>
          <w:tcPr>
            <w:tcW w:w="3686" w:type="dxa"/>
            <w:tcBorders>
              <w:top w:val="single" w:sz="4" w:space="0" w:color="auto"/>
              <w:left w:val="single" w:sz="4" w:space="0" w:color="auto"/>
              <w:bottom w:val="single" w:sz="4" w:space="0" w:color="auto"/>
              <w:right w:val="single" w:sz="4" w:space="0" w:color="auto"/>
            </w:tcBorders>
            <w:shd w:val="clear" w:color="auto" w:fill="FFFFFF"/>
          </w:tcPr>
          <w:p w14:paraId="57292613" w14:textId="77777777" w:rsidR="000666B8" w:rsidRDefault="000666B8" w:rsidP="000666B8">
            <w:pPr>
              <w:pStyle w:val="11"/>
              <w:shd w:val="clear" w:color="auto" w:fill="auto"/>
              <w:spacing w:before="0" w:after="0" w:line="240" w:lineRule="auto"/>
              <w:ind w:left="1260" w:firstLine="0"/>
            </w:pPr>
            <w:r>
              <w:t>&lt;10 мл/мин</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60A68A2E" w14:textId="77777777" w:rsidR="000666B8" w:rsidRDefault="000666B8" w:rsidP="000666B8">
            <w:pPr>
              <w:pStyle w:val="11"/>
              <w:shd w:val="clear" w:color="auto" w:fill="auto"/>
              <w:spacing w:before="0" w:after="0" w:line="240" w:lineRule="auto"/>
              <w:ind w:left="460" w:firstLine="0"/>
            </w:pPr>
            <w:r>
              <w:t>2,5 мг в дни диализа*</w:t>
            </w:r>
          </w:p>
        </w:tc>
      </w:tr>
    </w:tbl>
    <w:p w14:paraId="3FAF3830" w14:textId="77777777" w:rsidR="00C23EEB" w:rsidRDefault="00C23EEB" w:rsidP="00C23EEB">
      <w:pPr>
        <w:spacing w:line="360" w:lineRule="auto"/>
        <w:jc w:val="both"/>
      </w:pPr>
      <w:r>
        <w:t>*Эналаприл подвергается диализу. Коррекция дозы в дни, когда диализ не проводится, должна осуществляться в зависимости от уровня АД.</w:t>
      </w:r>
    </w:p>
    <w:p w14:paraId="400B6BBF" w14:textId="77777777" w:rsidR="00C23EEB" w:rsidRPr="000666B8" w:rsidRDefault="00C23EEB" w:rsidP="00C23EEB">
      <w:pPr>
        <w:spacing w:line="360" w:lineRule="auto"/>
        <w:jc w:val="both"/>
        <w:rPr>
          <w:i/>
        </w:rPr>
      </w:pPr>
      <w:r w:rsidRPr="000666B8">
        <w:rPr>
          <w:i/>
        </w:rPr>
        <w:t xml:space="preserve">Сердечная недостаточность / бессимптомная дисфункция левого желудочка </w:t>
      </w:r>
    </w:p>
    <w:p w14:paraId="11314951" w14:textId="77777777" w:rsidR="00C23EEB" w:rsidRDefault="00C23EEB" w:rsidP="00C23EEB">
      <w:pPr>
        <w:spacing w:line="360" w:lineRule="auto"/>
        <w:jc w:val="both"/>
      </w:pPr>
      <w:r>
        <w:lastRenderedPageBreak/>
        <w:t>Начальная доза эналаприла у пациентов с клинически выраженной СН или с бессимптомной дисфункцией левого желудочка составляет 2,5 мг. При этом применение препарата должно проводиться под тщательным врачебным контролем для определения первичного эффекта препарата на АД. Эналаприл может применяться для лечения СН с выраженными клиническими проявлениями обычно совместно с диуретиками и, когда необходимо, с сердечными гликозидами. В случае отсутствия симптоматической артериальной гипотензии (возникшей в результате лечения эналаприлом) или после ее коррекции дозу препарата следует постепенно повышать до обычной поддерживающей дозы 20 мг, которая применяется либо однократно, либо делится на 2 приема в зависимости от переносимости препарата пациентом. Подбор дозы может проводиться в течение 2-4 недель или в более короткие сроки, если имеются остаточные признаки и симптомы СН. Такой терапевтический режим эффективно снижает показатели смертности пациентов с клинически выраженной СН.</w:t>
      </w:r>
    </w:p>
    <w:p w14:paraId="2AD6747B" w14:textId="77777777" w:rsidR="00C23EEB" w:rsidRDefault="00C23EEB" w:rsidP="00C23EEB">
      <w:pPr>
        <w:spacing w:line="360" w:lineRule="auto"/>
        <w:jc w:val="both"/>
      </w:pPr>
      <w:r>
        <w:t>Как до, так и после начала лечения эналаприлом следует проводить регулярный контроль АД и функции почек (см. раздел «Особые указания»), поскольку сообщалось о развитии в результате приема препарата артериальной гипотензии с последующим (более редко) возникновением острой почечной недостаточности. У пациентов, принимающих диуретики, доза диуретиков по возможности должна быть снижена до начала лечения эналаприлом. Развитие артериальной гипотензии после приема первой дозы эналаприла не означает, что артериальная гипотензия повторно разовьется при длительном лечении, и не указывает на необходимость прекращения приема препарата. При лечении эналаприлом следует также контролировать содержание калия в сыворотке крови (см. раздел «Взаимодействие с другими лекарственными средствами»).</w:t>
      </w:r>
    </w:p>
    <w:p w14:paraId="003F542D" w14:textId="77777777" w:rsidR="00C23EEB" w:rsidRDefault="00C23EEB" w:rsidP="00C23EEB">
      <w:pPr>
        <w:spacing w:line="360" w:lineRule="auto"/>
        <w:jc w:val="both"/>
      </w:pPr>
      <w:r>
        <w:t>При необходимости применения эналаприла в дозе 2,5 мг следует назначать препараты эналаприла других производителей в лекарственной форме «таблетки 2,5 мг» или таблетки с риской, позволяющей осуществить деление таблетки до дозировки 2,5 мг.</w:t>
      </w:r>
    </w:p>
    <w:p w14:paraId="1745164B" w14:textId="6B2568B8" w:rsidR="0086780D" w:rsidRDefault="0086780D" w:rsidP="00C23EEB">
      <w:pPr>
        <w:spacing w:line="360" w:lineRule="auto"/>
        <w:jc w:val="both"/>
      </w:pPr>
      <w:r>
        <w:t xml:space="preserve">При необходимости применения эналаприла в дозе </w:t>
      </w:r>
      <w:r>
        <w:t>10</w:t>
      </w:r>
      <w:r>
        <w:t xml:space="preserve"> мг следует назначать препараты эналаприла других производителей в л</w:t>
      </w:r>
      <w:r>
        <w:t>екарственной форме «таблетки 10</w:t>
      </w:r>
      <w:r>
        <w:t xml:space="preserve"> мг»</w:t>
      </w:r>
      <w:r>
        <w:t>.</w:t>
      </w:r>
      <w:r>
        <w:t xml:space="preserve"> </w:t>
      </w:r>
    </w:p>
    <w:p w14:paraId="188CEC63" w14:textId="77777777" w:rsidR="00C23EEB" w:rsidRDefault="00C23EEB" w:rsidP="00C23EEB">
      <w:pPr>
        <w:spacing w:line="360" w:lineRule="auto"/>
        <w:jc w:val="both"/>
        <w:rPr>
          <w:b/>
        </w:rPr>
      </w:pPr>
      <w:r>
        <w:rPr>
          <w:b/>
        </w:rPr>
        <w:t>Побочное действие</w:t>
      </w:r>
    </w:p>
    <w:p w14:paraId="7155419E" w14:textId="77777777" w:rsidR="00C23EEB" w:rsidRDefault="00C23EEB" w:rsidP="00C23EEB">
      <w:pPr>
        <w:spacing w:line="360" w:lineRule="auto"/>
        <w:jc w:val="both"/>
      </w:pPr>
      <w:r>
        <w:t xml:space="preserve">В целом эналаприл хорошо переносится. В клинических исследованиях суммарная частота нежелательных явлений при применении эналаприла не превышала таковую при приеме плацебо. В большинстве случаев нежелательные явления были легкими, преходящими и не требовали отмены терапии. При применении эналаприла наблюдались следующие </w:t>
      </w:r>
      <w:r>
        <w:lastRenderedPageBreak/>
        <w:t xml:space="preserve">нежелательные явления (очень частые: ≥ 10 %, частые: ≥ 1 % и &lt; 10 %, нечастые: ≥ 0,1 % и &lt; 1 %, редкие: ≥ 0,01 % и &lt; 0,1 %, очень редкие: &lt; 0,01 %, частота неизвестна: невозможно оценить частоту на основании доступных данных): </w:t>
      </w:r>
    </w:p>
    <w:p w14:paraId="6EC346AF" w14:textId="77777777" w:rsidR="00C23EEB" w:rsidRPr="000666B8" w:rsidRDefault="00C23EEB" w:rsidP="00C23EEB">
      <w:pPr>
        <w:spacing w:line="360" w:lineRule="auto"/>
        <w:jc w:val="both"/>
        <w:rPr>
          <w:i/>
        </w:rPr>
      </w:pPr>
      <w:r w:rsidRPr="000666B8">
        <w:rPr>
          <w:i/>
        </w:rPr>
        <w:t xml:space="preserve">Нарушения со стороны крови и лимфатической системы </w:t>
      </w:r>
    </w:p>
    <w:p w14:paraId="547B9664" w14:textId="77777777" w:rsidR="00C23EEB" w:rsidRDefault="00C23EEB" w:rsidP="00C23EEB">
      <w:pPr>
        <w:spacing w:line="360" w:lineRule="auto"/>
        <w:jc w:val="both"/>
      </w:pPr>
      <w:r>
        <w:t>Нечастые: анемия (включая апластическую и гемолитическую).</w:t>
      </w:r>
    </w:p>
    <w:p w14:paraId="24456D0C" w14:textId="77777777" w:rsidR="00C23EEB" w:rsidRDefault="00C23EEB" w:rsidP="00C23EEB">
      <w:pPr>
        <w:spacing w:line="360" w:lineRule="auto"/>
        <w:jc w:val="both"/>
      </w:pPr>
      <w:r>
        <w:t xml:space="preserve">Редкие: нейтропения, снижение гемоглобина, снижение гематокрита, тромбоцитопения, агранулоцитоз, подавление функции костного мозга, панцитопения, лимфаденопатия, аутоиммунные заболевания. </w:t>
      </w:r>
    </w:p>
    <w:p w14:paraId="16751C5C" w14:textId="77777777" w:rsidR="00C23EEB" w:rsidRPr="000666B8" w:rsidRDefault="00C23EEB" w:rsidP="00C23EEB">
      <w:pPr>
        <w:spacing w:line="360" w:lineRule="auto"/>
        <w:jc w:val="both"/>
        <w:rPr>
          <w:i/>
        </w:rPr>
      </w:pPr>
      <w:r w:rsidRPr="000666B8">
        <w:rPr>
          <w:i/>
        </w:rPr>
        <w:t>Нарушения со стороны эндокринной системы</w:t>
      </w:r>
    </w:p>
    <w:p w14:paraId="25CDB556" w14:textId="77777777" w:rsidR="00C23EEB" w:rsidRDefault="00C23EEB" w:rsidP="00C23EEB">
      <w:pPr>
        <w:spacing w:line="360" w:lineRule="auto"/>
        <w:jc w:val="both"/>
      </w:pPr>
      <w:r>
        <w:t>Частота неизвестна: синдром неадекватной секреции антидиуретического гормона.</w:t>
      </w:r>
    </w:p>
    <w:p w14:paraId="5FB27BC2" w14:textId="77777777" w:rsidR="00C23EEB" w:rsidRPr="000666B8" w:rsidRDefault="00C23EEB" w:rsidP="00C23EEB">
      <w:pPr>
        <w:spacing w:line="360" w:lineRule="auto"/>
        <w:jc w:val="both"/>
        <w:rPr>
          <w:i/>
        </w:rPr>
      </w:pPr>
      <w:r w:rsidRPr="000666B8">
        <w:rPr>
          <w:i/>
        </w:rPr>
        <w:t>Нарушения со стороны обмена веществ и питания</w:t>
      </w:r>
    </w:p>
    <w:p w14:paraId="5D42A14F" w14:textId="77777777" w:rsidR="00C23EEB" w:rsidRDefault="00C23EEB" w:rsidP="00C23EEB">
      <w:pPr>
        <w:spacing w:line="360" w:lineRule="auto"/>
        <w:jc w:val="both"/>
      </w:pPr>
      <w:r>
        <w:t>Нечастые: гипогликемия (см. раздел «Особые указания»).</w:t>
      </w:r>
    </w:p>
    <w:p w14:paraId="603339C0" w14:textId="77777777" w:rsidR="00C23EEB" w:rsidRPr="000666B8" w:rsidRDefault="00C23EEB" w:rsidP="00C23EEB">
      <w:pPr>
        <w:spacing w:line="360" w:lineRule="auto"/>
        <w:jc w:val="both"/>
        <w:rPr>
          <w:i/>
        </w:rPr>
      </w:pPr>
      <w:r w:rsidRPr="000666B8">
        <w:rPr>
          <w:i/>
        </w:rPr>
        <w:t>Нарушения со стороны нервной системы и нарушения психики</w:t>
      </w:r>
    </w:p>
    <w:p w14:paraId="283B63BA" w14:textId="77777777" w:rsidR="00C23EEB" w:rsidRDefault="00C23EEB" w:rsidP="00C23EEB">
      <w:pPr>
        <w:spacing w:line="360" w:lineRule="auto"/>
        <w:jc w:val="both"/>
      </w:pPr>
      <w:r>
        <w:t>Частые: головная боль, депрессия.</w:t>
      </w:r>
    </w:p>
    <w:p w14:paraId="096D9C68" w14:textId="77777777" w:rsidR="00C23EEB" w:rsidRDefault="00C23EEB" w:rsidP="00C23EEB">
      <w:pPr>
        <w:spacing w:line="360" w:lineRule="auto"/>
        <w:jc w:val="both"/>
      </w:pPr>
      <w:r>
        <w:t>Нечастые: спутанность сознания, сонливость, бессонница, повышенная нервозность,</w:t>
      </w:r>
    </w:p>
    <w:p w14:paraId="4D160059" w14:textId="77777777" w:rsidR="00C23EEB" w:rsidRDefault="00C23EEB" w:rsidP="00C23EEB">
      <w:pPr>
        <w:spacing w:line="360" w:lineRule="auto"/>
        <w:jc w:val="both"/>
      </w:pPr>
      <w:r>
        <w:t>парестезия, системное головокружение.</w:t>
      </w:r>
    </w:p>
    <w:p w14:paraId="60182382" w14:textId="77777777" w:rsidR="00C23EEB" w:rsidRDefault="00C23EEB" w:rsidP="00C23EEB">
      <w:pPr>
        <w:spacing w:line="360" w:lineRule="auto"/>
        <w:jc w:val="both"/>
      </w:pPr>
      <w:r>
        <w:t>Редкие: необычные сновидения, нарушения сна.</w:t>
      </w:r>
    </w:p>
    <w:p w14:paraId="19170F84" w14:textId="77777777" w:rsidR="00C23EEB" w:rsidRPr="000666B8" w:rsidRDefault="00C23EEB" w:rsidP="00C23EEB">
      <w:pPr>
        <w:spacing w:line="360" w:lineRule="auto"/>
        <w:jc w:val="both"/>
        <w:rPr>
          <w:i/>
        </w:rPr>
      </w:pPr>
      <w:r w:rsidRPr="000666B8">
        <w:rPr>
          <w:i/>
        </w:rPr>
        <w:t>Нарушения со стороны органа зрения</w:t>
      </w:r>
    </w:p>
    <w:p w14:paraId="24BAF3E7" w14:textId="77777777" w:rsidR="00C23EEB" w:rsidRDefault="00C23EEB" w:rsidP="00C23EEB">
      <w:pPr>
        <w:spacing w:line="360" w:lineRule="auto"/>
        <w:jc w:val="both"/>
      </w:pPr>
      <w:r>
        <w:t>Очень частые: нечеткость зрения.</w:t>
      </w:r>
    </w:p>
    <w:p w14:paraId="332B9A31" w14:textId="77777777" w:rsidR="00C23EEB" w:rsidRPr="000666B8" w:rsidRDefault="00C23EEB" w:rsidP="00C23EEB">
      <w:pPr>
        <w:spacing w:line="360" w:lineRule="auto"/>
        <w:jc w:val="both"/>
        <w:rPr>
          <w:i/>
        </w:rPr>
      </w:pPr>
      <w:r w:rsidRPr="000666B8">
        <w:rPr>
          <w:i/>
        </w:rPr>
        <w:t>Нарушения со стороны сердца и сосудов</w:t>
      </w:r>
    </w:p>
    <w:p w14:paraId="2AC72943" w14:textId="77777777" w:rsidR="00C23EEB" w:rsidRDefault="00C23EEB" w:rsidP="00C23EEB">
      <w:pPr>
        <w:spacing w:line="360" w:lineRule="auto"/>
        <w:jc w:val="both"/>
      </w:pPr>
      <w:r>
        <w:t>Очень частые: головокружение.</w:t>
      </w:r>
    </w:p>
    <w:p w14:paraId="3586B28D" w14:textId="77777777" w:rsidR="00C23EEB" w:rsidRDefault="00C23EEB" w:rsidP="00C23EEB">
      <w:pPr>
        <w:spacing w:line="360" w:lineRule="auto"/>
        <w:jc w:val="both"/>
      </w:pPr>
      <w:r>
        <w:t>Частые: выраженное снижение АД, обморок, боль в груди, нарушение ритма, стенокардия, тахикардия.</w:t>
      </w:r>
    </w:p>
    <w:p w14:paraId="0B7CA271" w14:textId="77777777" w:rsidR="00C23EEB" w:rsidRDefault="00C23EEB" w:rsidP="00C23EEB">
      <w:pPr>
        <w:spacing w:line="360" w:lineRule="auto"/>
        <w:jc w:val="both"/>
      </w:pPr>
      <w:r>
        <w:t xml:space="preserve">Нечастые: ортостатическая гипотензия, ощущение сердцебиения, инфаркт миокарда или инсульт*, возможно, вторичные по отношению к выраженной артериальной гипотензии у пациентов, относящихся к группе высокого риска (см. раздел «Особые указания»). </w:t>
      </w:r>
    </w:p>
    <w:p w14:paraId="47708D03" w14:textId="77777777" w:rsidR="00C23EEB" w:rsidRDefault="00C23EEB" w:rsidP="00C23EEB">
      <w:pPr>
        <w:spacing w:line="360" w:lineRule="auto"/>
        <w:jc w:val="both"/>
      </w:pPr>
      <w:r>
        <w:t>Редкие: синдром Рейно.</w:t>
      </w:r>
    </w:p>
    <w:p w14:paraId="43DE7C43" w14:textId="77777777" w:rsidR="00C23EEB" w:rsidRDefault="00C23EEB" w:rsidP="00C23EEB">
      <w:pPr>
        <w:spacing w:line="360" w:lineRule="auto"/>
        <w:jc w:val="both"/>
      </w:pPr>
      <w:r w:rsidRPr="000666B8">
        <w:rPr>
          <w:i/>
        </w:rPr>
        <w:t>Нарушения со стороны дыхательной системы, органов грудной клетки и средостения</w:t>
      </w:r>
      <w:r>
        <w:t xml:space="preserve"> </w:t>
      </w:r>
    </w:p>
    <w:p w14:paraId="4951FDD1" w14:textId="77777777" w:rsidR="00C23EEB" w:rsidRDefault="00C23EEB" w:rsidP="00C23EEB">
      <w:pPr>
        <w:spacing w:line="360" w:lineRule="auto"/>
        <w:jc w:val="both"/>
      </w:pPr>
      <w:r>
        <w:t xml:space="preserve">Очень частые: кашель. </w:t>
      </w:r>
    </w:p>
    <w:p w14:paraId="69830ED8" w14:textId="77777777" w:rsidR="00C23EEB" w:rsidRDefault="00C23EEB" w:rsidP="00C23EEB">
      <w:pPr>
        <w:spacing w:line="360" w:lineRule="auto"/>
        <w:jc w:val="both"/>
      </w:pPr>
      <w:r>
        <w:t>Частые: одышка.</w:t>
      </w:r>
    </w:p>
    <w:p w14:paraId="63DD5F17" w14:textId="77777777" w:rsidR="00C23EEB" w:rsidRDefault="00C23EEB" w:rsidP="00C23EEB">
      <w:pPr>
        <w:spacing w:line="360" w:lineRule="auto"/>
        <w:jc w:val="both"/>
      </w:pPr>
      <w:r>
        <w:t>Нечастые: ринорея, боль в горле, охриплость голоса, бронхоспазм/бронхиальная астма. Редкие: легочные инфильтраты, риниты, аллергический альвеолит/эозинофильная пневмония.</w:t>
      </w:r>
    </w:p>
    <w:p w14:paraId="3E95E167" w14:textId="77777777" w:rsidR="00C23EEB" w:rsidRPr="000666B8" w:rsidRDefault="00C23EEB" w:rsidP="00C23EEB">
      <w:pPr>
        <w:spacing w:line="360" w:lineRule="auto"/>
        <w:jc w:val="both"/>
        <w:rPr>
          <w:i/>
        </w:rPr>
      </w:pPr>
      <w:r w:rsidRPr="000666B8">
        <w:rPr>
          <w:i/>
        </w:rPr>
        <w:lastRenderedPageBreak/>
        <w:t xml:space="preserve">Нарушения со стороны пищеварительной системы </w:t>
      </w:r>
    </w:p>
    <w:p w14:paraId="16F5036A" w14:textId="77777777" w:rsidR="00C23EEB" w:rsidRDefault="00C23EEB" w:rsidP="00C23EEB">
      <w:pPr>
        <w:spacing w:line="360" w:lineRule="auto"/>
        <w:jc w:val="both"/>
      </w:pPr>
      <w:r>
        <w:t>Очень частые: тошнота.</w:t>
      </w:r>
    </w:p>
    <w:p w14:paraId="5090A890" w14:textId="77777777" w:rsidR="00C23EEB" w:rsidRDefault="00C23EEB" w:rsidP="00C23EEB">
      <w:pPr>
        <w:spacing w:line="360" w:lineRule="auto"/>
        <w:jc w:val="both"/>
      </w:pPr>
      <w:r>
        <w:t>Частые: диарея, боли в области живота, нарушение вкуса.</w:t>
      </w:r>
    </w:p>
    <w:p w14:paraId="589F78D9" w14:textId="77777777" w:rsidR="00C23EEB" w:rsidRDefault="00C23EEB" w:rsidP="00C23EEB">
      <w:pPr>
        <w:spacing w:line="360" w:lineRule="auto"/>
        <w:jc w:val="both"/>
      </w:pPr>
      <w:r>
        <w:t>Нечастые: кишечная непроходимость, панкреатит, рвота, диспепсия, запор, анорексия, раздражение желудка, сухость слизистой оболочки полости рта, язва желудка и двенадцатиперстной кишки.</w:t>
      </w:r>
    </w:p>
    <w:p w14:paraId="78EC032E" w14:textId="77777777" w:rsidR="00C23EEB" w:rsidRDefault="00C23EEB" w:rsidP="00C23EEB">
      <w:pPr>
        <w:spacing w:line="360" w:lineRule="auto"/>
        <w:jc w:val="both"/>
      </w:pPr>
      <w:r>
        <w:t>Редкие: стоматит/афтозные язвы, глоссит.</w:t>
      </w:r>
    </w:p>
    <w:p w14:paraId="11430090" w14:textId="77777777" w:rsidR="00C23EEB" w:rsidRDefault="00C23EEB" w:rsidP="00C23EEB">
      <w:pPr>
        <w:spacing w:line="360" w:lineRule="auto"/>
        <w:jc w:val="both"/>
      </w:pPr>
      <w:r>
        <w:t>Очень редкие: интестинальный отек.</w:t>
      </w:r>
    </w:p>
    <w:p w14:paraId="527949BC" w14:textId="77777777" w:rsidR="00C23EEB" w:rsidRPr="000666B8" w:rsidRDefault="00C23EEB" w:rsidP="00C23EEB">
      <w:pPr>
        <w:spacing w:line="360" w:lineRule="auto"/>
        <w:jc w:val="both"/>
        <w:rPr>
          <w:i/>
        </w:rPr>
      </w:pPr>
      <w:r w:rsidRPr="000666B8">
        <w:rPr>
          <w:i/>
        </w:rPr>
        <w:t>Нарушения со стороны печени и желчевыводящих путей</w:t>
      </w:r>
    </w:p>
    <w:p w14:paraId="120E9EB2" w14:textId="77777777" w:rsidR="00C23EEB" w:rsidRDefault="00C23EEB" w:rsidP="00C23EEB">
      <w:pPr>
        <w:spacing w:line="360" w:lineRule="auto"/>
        <w:jc w:val="both"/>
      </w:pPr>
      <w:r>
        <w:t xml:space="preserve">Редкие: печеночная недостаточность, гепатит (гепатоцеллюлярный или холестатический), гепатит (включая некроз), холестаз (включая желтуху). </w:t>
      </w:r>
    </w:p>
    <w:p w14:paraId="55EACDA2" w14:textId="77777777" w:rsidR="00C23EEB" w:rsidRPr="000666B8" w:rsidRDefault="00C23EEB" w:rsidP="00C23EEB">
      <w:pPr>
        <w:spacing w:line="360" w:lineRule="auto"/>
        <w:jc w:val="both"/>
        <w:rPr>
          <w:i/>
        </w:rPr>
      </w:pPr>
      <w:r w:rsidRPr="000666B8">
        <w:rPr>
          <w:i/>
        </w:rPr>
        <w:t>Нарушения со стороны кожи и подкожных тканей</w:t>
      </w:r>
    </w:p>
    <w:p w14:paraId="2BDF97D2" w14:textId="77777777" w:rsidR="00C23EEB" w:rsidRDefault="00C23EEB" w:rsidP="00C23EEB">
      <w:pPr>
        <w:spacing w:line="360" w:lineRule="auto"/>
        <w:jc w:val="both"/>
      </w:pPr>
      <w:r>
        <w:t>Частые: кожная сыпь, реакции гиперчувствительности/ангионевротический отек: ангионевротический отек лица, конечностей, губ, языка, голосовых складок и/или гортани (см. раздел «Особые указания»).</w:t>
      </w:r>
    </w:p>
    <w:p w14:paraId="3BD01035" w14:textId="77777777" w:rsidR="00C23EEB" w:rsidRDefault="00C23EEB" w:rsidP="00C23EEB">
      <w:pPr>
        <w:spacing w:line="360" w:lineRule="auto"/>
        <w:jc w:val="both"/>
      </w:pPr>
      <w:r>
        <w:t>Нечастые: повышенное потоотделение, кожный зуд, крапивница, алопеция.</w:t>
      </w:r>
    </w:p>
    <w:p w14:paraId="380A8E95" w14:textId="77777777" w:rsidR="00C23EEB" w:rsidRDefault="00C23EEB" w:rsidP="00C23EEB">
      <w:pPr>
        <w:spacing w:line="360" w:lineRule="auto"/>
        <w:jc w:val="both"/>
      </w:pPr>
      <w:r>
        <w:t>Редкие: многоформная эритема, синдром Стивенса-Джонсона, эксфолиативный дерматит,</w:t>
      </w:r>
    </w:p>
    <w:p w14:paraId="080CAEFE" w14:textId="77777777" w:rsidR="00C23EEB" w:rsidRDefault="00C23EEB" w:rsidP="00C23EEB">
      <w:pPr>
        <w:spacing w:line="360" w:lineRule="auto"/>
        <w:jc w:val="both"/>
      </w:pPr>
      <w:r>
        <w:t>токсический эпидермальный некролиз, пемфигус, эритродермия.</w:t>
      </w:r>
    </w:p>
    <w:p w14:paraId="69A1F6FA" w14:textId="77777777" w:rsidR="00C23EEB" w:rsidRDefault="00C23EEB" w:rsidP="00C23EEB">
      <w:pPr>
        <w:spacing w:line="360" w:lineRule="auto"/>
        <w:jc w:val="both"/>
      </w:pPr>
      <w:r>
        <w:t>Сообщалось о развитии симптомокомплекса, который может включать все или некоторые из следующих симптомов: лихорадку, серозит, васкулит, миалгию/миозит, артралгию/артрит, положительный тест на антинуклеарные антитела, увеличение скорости</w:t>
      </w:r>
    </w:p>
    <w:p w14:paraId="058CB136" w14:textId="77777777" w:rsidR="00C23EEB" w:rsidRDefault="00C23EEB" w:rsidP="00C23EEB">
      <w:pPr>
        <w:spacing w:line="360" w:lineRule="auto"/>
        <w:jc w:val="both"/>
      </w:pPr>
      <w:r>
        <w:t xml:space="preserve">оседания эритроцитов (СОЭ), эозинофилию и лейкоцитоз. Могут также возникать кожная сыпь, фотосенсибилизация и другие кожные реакции. </w:t>
      </w:r>
    </w:p>
    <w:p w14:paraId="017716AC" w14:textId="77777777" w:rsidR="00C23EEB" w:rsidRPr="000666B8" w:rsidRDefault="00C23EEB" w:rsidP="00C23EEB">
      <w:pPr>
        <w:spacing w:line="360" w:lineRule="auto"/>
        <w:jc w:val="both"/>
        <w:rPr>
          <w:i/>
        </w:rPr>
      </w:pPr>
      <w:r w:rsidRPr="000666B8">
        <w:rPr>
          <w:i/>
        </w:rPr>
        <w:t>Нарушения со стороны почек и мочевыводящих путей</w:t>
      </w:r>
    </w:p>
    <w:p w14:paraId="50AD84D9" w14:textId="77777777" w:rsidR="00C23EEB" w:rsidRDefault="00C23EEB" w:rsidP="00C23EEB">
      <w:pPr>
        <w:spacing w:line="360" w:lineRule="auto"/>
        <w:jc w:val="both"/>
      </w:pPr>
      <w:r>
        <w:t xml:space="preserve">Нечастые: нарушения функции почек, почечная недостаточность, протеинурия. </w:t>
      </w:r>
    </w:p>
    <w:p w14:paraId="2BCE53CC" w14:textId="77777777" w:rsidR="00C23EEB" w:rsidRDefault="00C23EEB" w:rsidP="00C23EEB">
      <w:pPr>
        <w:spacing w:line="360" w:lineRule="auto"/>
        <w:jc w:val="both"/>
      </w:pPr>
      <w:r>
        <w:t>Редкие: олигурия.</w:t>
      </w:r>
    </w:p>
    <w:p w14:paraId="25718BAF" w14:textId="77777777" w:rsidR="00C23EEB" w:rsidRPr="000666B8" w:rsidRDefault="00C23EEB" w:rsidP="00C23EEB">
      <w:pPr>
        <w:spacing w:line="360" w:lineRule="auto"/>
        <w:jc w:val="both"/>
        <w:rPr>
          <w:i/>
        </w:rPr>
      </w:pPr>
      <w:r w:rsidRPr="000666B8">
        <w:rPr>
          <w:i/>
        </w:rPr>
        <w:t>Нарушения со стороны половых органов и молочной железы</w:t>
      </w:r>
    </w:p>
    <w:p w14:paraId="1008727F" w14:textId="77777777" w:rsidR="00C23EEB" w:rsidRDefault="00C23EEB" w:rsidP="00C23EEB">
      <w:pPr>
        <w:spacing w:line="360" w:lineRule="auto"/>
        <w:jc w:val="both"/>
      </w:pPr>
      <w:r>
        <w:t>Нечастые: эректильная дисфункция.</w:t>
      </w:r>
    </w:p>
    <w:p w14:paraId="2F1D3546" w14:textId="77777777" w:rsidR="00C23EEB" w:rsidRDefault="00C23EEB" w:rsidP="00C23EEB">
      <w:pPr>
        <w:spacing w:line="360" w:lineRule="auto"/>
        <w:jc w:val="both"/>
      </w:pPr>
      <w:r>
        <w:t>Редкие: гинекомастия.</w:t>
      </w:r>
    </w:p>
    <w:p w14:paraId="0E918EAE" w14:textId="77777777" w:rsidR="00C23EEB" w:rsidRPr="000666B8" w:rsidRDefault="00C23EEB" w:rsidP="00C23EEB">
      <w:pPr>
        <w:spacing w:line="360" w:lineRule="auto"/>
        <w:jc w:val="both"/>
        <w:rPr>
          <w:i/>
        </w:rPr>
      </w:pPr>
      <w:r w:rsidRPr="000666B8">
        <w:rPr>
          <w:i/>
        </w:rPr>
        <w:t>Общие расстройства</w:t>
      </w:r>
    </w:p>
    <w:p w14:paraId="011B714C" w14:textId="77777777" w:rsidR="00C23EEB" w:rsidRDefault="00C23EEB" w:rsidP="00C23EEB">
      <w:pPr>
        <w:spacing w:line="360" w:lineRule="auto"/>
        <w:jc w:val="both"/>
      </w:pPr>
      <w:r>
        <w:t>Очень частые: астения.</w:t>
      </w:r>
    </w:p>
    <w:p w14:paraId="14D61A0C" w14:textId="77777777" w:rsidR="00C23EEB" w:rsidRDefault="00C23EEB" w:rsidP="00C23EEB">
      <w:pPr>
        <w:spacing w:line="360" w:lineRule="auto"/>
        <w:jc w:val="both"/>
      </w:pPr>
      <w:r>
        <w:t>Частые: повышенная утомляемость.</w:t>
      </w:r>
    </w:p>
    <w:p w14:paraId="74B202FE" w14:textId="77777777" w:rsidR="00C23EEB" w:rsidRDefault="00C23EEB" w:rsidP="00C23EEB">
      <w:pPr>
        <w:spacing w:line="360" w:lineRule="auto"/>
        <w:jc w:val="both"/>
      </w:pPr>
      <w:r>
        <w:t>Нечастые: мышечные судороги, «приливы» крови к коже лица, шум в ушах, чувство</w:t>
      </w:r>
    </w:p>
    <w:p w14:paraId="6C29BE4C" w14:textId="77777777" w:rsidR="00C23EEB" w:rsidRDefault="00C23EEB" w:rsidP="00C23EEB">
      <w:pPr>
        <w:spacing w:line="360" w:lineRule="auto"/>
        <w:jc w:val="both"/>
      </w:pPr>
      <w:r>
        <w:lastRenderedPageBreak/>
        <w:t>дискомфорта, лихорадка.</w:t>
      </w:r>
    </w:p>
    <w:p w14:paraId="1876611F" w14:textId="77777777" w:rsidR="00C23EEB" w:rsidRPr="000666B8" w:rsidRDefault="00C23EEB" w:rsidP="00C23EEB">
      <w:pPr>
        <w:spacing w:line="360" w:lineRule="auto"/>
        <w:jc w:val="both"/>
        <w:rPr>
          <w:i/>
        </w:rPr>
      </w:pPr>
      <w:r w:rsidRPr="000666B8">
        <w:rPr>
          <w:i/>
        </w:rPr>
        <w:t>Лабораторные и инструментальные данные</w:t>
      </w:r>
    </w:p>
    <w:p w14:paraId="1078B150" w14:textId="77777777" w:rsidR="00C23EEB" w:rsidRDefault="00C23EEB" w:rsidP="00C23EEB">
      <w:pPr>
        <w:spacing w:line="360" w:lineRule="auto"/>
        <w:jc w:val="both"/>
      </w:pPr>
      <w:r>
        <w:t>Частые: гиперкалиемия, увеличение концентрации сывороточного креатинина. Нечастые: повышение концентрации мочевины в крови, гипонатриемия. Редкие: повышение активности «печеночных» трансаминаз, увеличение концентрации билирубина в сыворотке крови.</w:t>
      </w:r>
    </w:p>
    <w:p w14:paraId="013715BF" w14:textId="77777777" w:rsidR="00C23EEB" w:rsidRDefault="00C23EEB" w:rsidP="00C23EEB">
      <w:pPr>
        <w:spacing w:line="360" w:lineRule="auto"/>
        <w:jc w:val="both"/>
      </w:pPr>
      <w:r>
        <w:t>* Частота случаев была сравнима с частотой, наблюдавшейся в клинических исследованиях при приеме плацебо или другого препарата сравнения.</w:t>
      </w:r>
    </w:p>
    <w:p w14:paraId="3949DF08" w14:textId="77777777" w:rsidR="00C23EEB" w:rsidRDefault="00C23EEB" w:rsidP="00C23EEB">
      <w:pPr>
        <w:spacing w:line="360" w:lineRule="auto"/>
        <w:jc w:val="both"/>
      </w:pPr>
      <w:r>
        <w:t>Перечисленные ниже нежелательные явления выявлены в ходе пострегистрационного наблюдения, однако причинно-следственной связи с приемом эналаприла не установлено: инфекция мочевыводящих путей, инфекция верхних дыхательных путей, бронхит, остановка сердца, фибрилляция предсердий, опоясывающий герпес, мелена, атаксия, тромбоэмболия ветвей легочной артерии и инфаркт легкого, гемолитическая анемия, включая случаи гемолиза у пациентов с дефицитом глюкозо-6-фосфатдегидрогеназы.</w:t>
      </w:r>
    </w:p>
    <w:p w14:paraId="61FE1AE9" w14:textId="77777777" w:rsidR="00C23EEB" w:rsidRDefault="00C23EEB" w:rsidP="00C23EEB">
      <w:pPr>
        <w:spacing w:line="360" w:lineRule="auto"/>
        <w:jc w:val="both"/>
        <w:rPr>
          <w:b/>
        </w:rPr>
      </w:pPr>
      <w:r w:rsidRPr="00DC104E">
        <w:rPr>
          <w:b/>
        </w:rPr>
        <w:t>Передозировка</w:t>
      </w:r>
    </w:p>
    <w:p w14:paraId="6C5B3C40" w14:textId="77777777" w:rsidR="00C23EEB" w:rsidRPr="000666B8" w:rsidRDefault="00C23EEB" w:rsidP="00C23EEB">
      <w:pPr>
        <w:spacing w:line="360" w:lineRule="auto"/>
        <w:jc w:val="both"/>
      </w:pPr>
      <w:r w:rsidRPr="000666B8">
        <w:t>Сведения о передозировке ограничены. Наиболее характерные симптомы передозировки: выраженное снижение АД, начинающееся приблизительно через 6 ч после приема препарата одновременно с блокадой РААС, и ступор. Концентрации эналаприлата в сыворотке крови, превышающие в 100 и 200 раз концентрации, наблюдающиеся при применении терапевтических доз, возникали после приема соответственно 300 и 440 мг эналаприла.</w:t>
      </w:r>
    </w:p>
    <w:p w14:paraId="03235AC4" w14:textId="77777777" w:rsidR="00C23EEB" w:rsidRPr="000666B8" w:rsidRDefault="00C23EEB" w:rsidP="00C23EEB">
      <w:pPr>
        <w:spacing w:line="360" w:lineRule="auto"/>
        <w:jc w:val="both"/>
      </w:pPr>
      <w:r w:rsidRPr="000666B8">
        <w:t>Рекомендуемое лечение передозировки: внутривенная инфузия 0,9 % раствора натрия хлорида. Если препарат был принят недавно - провокация рвоты. Эналаприлат может быть удален из системного кровообращения с помощью гемодиализа (см. раздел «Особые указания. Пациенты, находящиеся на гемодиализе»).</w:t>
      </w:r>
    </w:p>
    <w:p w14:paraId="6AF97BC6" w14:textId="580429A5" w:rsidR="0047373B" w:rsidRDefault="005219C6" w:rsidP="000666B8">
      <w:pPr>
        <w:spacing w:line="360" w:lineRule="auto"/>
        <w:jc w:val="both"/>
        <w:rPr>
          <w:b/>
        </w:rPr>
      </w:pPr>
      <w:r w:rsidRPr="00DC104E">
        <w:rPr>
          <w:b/>
        </w:rPr>
        <w:t>Взаимодействие с другими лекарственными средствами</w:t>
      </w:r>
    </w:p>
    <w:p w14:paraId="199FA7EA" w14:textId="77777777" w:rsidR="000666B8" w:rsidRPr="000666B8" w:rsidRDefault="000666B8" w:rsidP="000666B8">
      <w:pPr>
        <w:spacing w:line="360" w:lineRule="auto"/>
        <w:jc w:val="both"/>
        <w:rPr>
          <w:i/>
        </w:rPr>
      </w:pPr>
      <w:r w:rsidRPr="000666B8">
        <w:rPr>
          <w:i/>
        </w:rPr>
        <w:t>Другие гипотензивные средства</w:t>
      </w:r>
    </w:p>
    <w:p w14:paraId="1CF98777" w14:textId="77777777" w:rsidR="000666B8" w:rsidRPr="007F47C5" w:rsidRDefault="000666B8" w:rsidP="000666B8">
      <w:pPr>
        <w:spacing w:line="360" w:lineRule="auto"/>
        <w:jc w:val="both"/>
      </w:pPr>
      <w:r w:rsidRPr="007F47C5">
        <w:t>Аддитивный эффект может наблюдаться при одновременном применении эналаприла и другой гипотензивной терапии.</w:t>
      </w:r>
    </w:p>
    <w:p w14:paraId="2BCE9056" w14:textId="77777777" w:rsidR="000666B8" w:rsidRPr="007F47C5" w:rsidRDefault="000666B8" w:rsidP="000666B8">
      <w:pPr>
        <w:spacing w:line="360" w:lineRule="auto"/>
        <w:jc w:val="both"/>
      </w:pPr>
      <w:r w:rsidRPr="007F47C5">
        <w:t xml:space="preserve">При применении эналаприла одновременно с другими гипотензивными средствами, особенно с диуретиками, может наблюдаться усиление антигипертензивного эффекта. Одновременное применение эналаприла с бета-адреноблокаторами, метилдопой или блокаторами «медленных» кальциевых каналов повышало выраженность </w:t>
      </w:r>
      <w:r w:rsidRPr="007F47C5">
        <w:lastRenderedPageBreak/>
        <w:t>антигипертензивного эффекта. Одновременное применение эналаприла с альфа-, бета-адреноблокаторами и ганглиоблокаторами должно проводиться под тщательным врачебным контролем.</w:t>
      </w:r>
    </w:p>
    <w:p w14:paraId="189AB869" w14:textId="77777777" w:rsidR="007F47C5" w:rsidRDefault="000666B8" w:rsidP="000666B8">
      <w:pPr>
        <w:spacing w:line="360" w:lineRule="auto"/>
        <w:jc w:val="both"/>
        <w:rPr>
          <w:i/>
        </w:rPr>
      </w:pPr>
      <w:r w:rsidRPr="007F47C5">
        <w:t>Одновременное применение эналаприла с нитроглицерином, другими нитропрепаратами или другими вазодилататорами усиливает антигипертензивный эффект.</w:t>
      </w:r>
      <w:r w:rsidRPr="000666B8">
        <w:rPr>
          <w:i/>
        </w:rPr>
        <w:t xml:space="preserve"> </w:t>
      </w:r>
    </w:p>
    <w:p w14:paraId="13F5FB47" w14:textId="25913562" w:rsidR="006861C1" w:rsidRPr="006861C1" w:rsidRDefault="006861C1" w:rsidP="006861C1">
      <w:pPr>
        <w:spacing w:line="360" w:lineRule="auto"/>
        <w:jc w:val="both"/>
        <w:rPr>
          <w:i/>
        </w:rPr>
      </w:pPr>
      <w:r>
        <w:rPr>
          <w:i/>
        </w:rPr>
        <w:t>Калийсберегающие диуретики, калийсо</w:t>
      </w:r>
      <w:r w:rsidRPr="006861C1">
        <w:rPr>
          <w:i/>
        </w:rPr>
        <w:t>держащи</w:t>
      </w:r>
      <w:r>
        <w:rPr>
          <w:i/>
        </w:rPr>
        <w:t>е пищевые добавки или другие ле</w:t>
      </w:r>
      <w:r w:rsidRPr="006861C1">
        <w:rPr>
          <w:i/>
        </w:rPr>
        <w:t>карстве</w:t>
      </w:r>
      <w:r>
        <w:rPr>
          <w:i/>
        </w:rPr>
        <w:t>нные препараты, способные увели</w:t>
      </w:r>
      <w:r w:rsidRPr="006861C1">
        <w:rPr>
          <w:i/>
        </w:rPr>
        <w:t>чивать содерж</w:t>
      </w:r>
      <w:r>
        <w:rPr>
          <w:i/>
        </w:rPr>
        <w:t>ание калия в сыворотке кро</w:t>
      </w:r>
      <w:r w:rsidRPr="006861C1">
        <w:rPr>
          <w:i/>
        </w:rPr>
        <w:t>ви</w:t>
      </w:r>
    </w:p>
    <w:p w14:paraId="1EFA2FD0" w14:textId="4E4135D3" w:rsidR="006861C1" w:rsidRDefault="006861C1" w:rsidP="006861C1">
      <w:pPr>
        <w:spacing w:line="360" w:lineRule="auto"/>
        <w:jc w:val="both"/>
      </w:pPr>
      <w:r w:rsidRPr="006861C1">
        <w:t>Ингибиторы АПФ ослабляют вызванную диуретиками потерю калия. Применение калийсберегающих диуретиков (например, спиронолактона, эплеренона, триамтерена или амилорида), а также калийсодержащих пищевы</w:t>
      </w:r>
      <w:r>
        <w:t>х добавок, калийсодержащих заме</w:t>
      </w:r>
      <w:r w:rsidRPr="006861C1">
        <w:t>нителей пищевой соли, или других лекарственны</w:t>
      </w:r>
      <w:r>
        <w:t>х препаратов, способных увеличи</w:t>
      </w:r>
      <w:r w:rsidRPr="006861C1">
        <w:t>вать содержание калия в сыворотке крови (наприме</w:t>
      </w:r>
      <w:r>
        <w:t>р, препараты, содержащие триме</w:t>
      </w:r>
      <w:r w:rsidRPr="006861C1">
        <w:t>топрим), может привести к значительному возрастанию содержания калия в сыворотке крови. При необходимости одновременного применения эналаприла и перечисленных выше калийсодержащих или способных увеличивать содержание калия препаратов следуе</w:t>
      </w:r>
      <w:r>
        <w:t>т соблюдать осторожность и регу</w:t>
      </w:r>
      <w:r w:rsidRPr="006861C1">
        <w:t>лярно контролировать содержание калия в сыворотк</w:t>
      </w:r>
      <w:r>
        <w:t>е крови (см. раздел «Особые ука</w:t>
      </w:r>
      <w:r w:rsidRPr="006861C1">
        <w:t>зания»).</w:t>
      </w:r>
    </w:p>
    <w:p w14:paraId="5AB821CD" w14:textId="1952F80E" w:rsidR="006861C1" w:rsidRPr="006861C1" w:rsidRDefault="006861C1" w:rsidP="006861C1">
      <w:pPr>
        <w:spacing w:line="360" w:lineRule="auto"/>
        <w:jc w:val="both"/>
        <w:rPr>
          <w:i/>
        </w:rPr>
      </w:pPr>
      <w:r w:rsidRPr="006861C1">
        <w:rPr>
          <w:i/>
        </w:rPr>
        <w:t>Калийнесберегающие (тиазидные или «петлевые») диуретики</w:t>
      </w:r>
    </w:p>
    <w:p w14:paraId="7A024C6A" w14:textId="6A4820FD" w:rsidR="006861C1" w:rsidRPr="006861C1" w:rsidRDefault="006861C1" w:rsidP="006861C1">
      <w:pPr>
        <w:spacing w:line="360" w:lineRule="auto"/>
        <w:jc w:val="both"/>
      </w:pPr>
      <w:r>
        <w:t>Лечение высокими дозами диуретиков, предшествующее началу терапии эналаприлом, может повлечь за собой снижение объема циркулирующей крови и риск развития артериальной гипотензии. Гипотензивные эффекты могут быть уменьшены путем прекращения приема диуретика, восполнения объема жидкости или увеличения потребления соли, или путем начала терапии эналаприлом в низкой дозе.</w:t>
      </w:r>
    </w:p>
    <w:p w14:paraId="3A606D03" w14:textId="7F08F3AF" w:rsidR="000666B8" w:rsidRPr="000666B8" w:rsidRDefault="000666B8" w:rsidP="006861C1">
      <w:pPr>
        <w:spacing w:line="360" w:lineRule="auto"/>
        <w:jc w:val="both"/>
        <w:rPr>
          <w:i/>
        </w:rPr>
      </w:pPr>
      <w:r w:rsidRPr="000666B8">
        <w:rPr>
          <w:i/>
        </w:rPr>
        <w:t>Гипогликемические средства</w:t>
      </w:r>
    </w:p>
    <w:p w14:paraId="2042DCDD" w14:textId="77777777" w:rsidR="000666B8" w:rsidRPr="007F47C5" w:rsidRDefault="000666B8" w:rsidP="000666B8">
      <w:pPr>
        <w:spacing w:line="360" w:lineRule="auto"/>
        <w:jc w:val="both"/>
      </w:pPr>
      <w:r w:rsidRPr="007F47C5">
        <w:t>Эпидемиологические исследования показали, что одновременное применение ингибиторов АПФ и гипогликемических средств (инсулина, гипогликемических средств для приема внутрь) может усилить гипогликемический эффект последних с риском развития гипогликемии. Данный феномен, как правило, наиболее часто наблюдался в течение первых недель комбинированной терапии, а также у пациентов с нарушением функции почек. У пациентов с сахарным диабетом, принимающих гипогликемические средства для приема внутрь или инсулин, следует регулярно контролировать концентрацию глюкозы крови, особенно в течение первого месяца одновременного применения с ингибиторами АПФ.</w:t>
      </w:r>
    </w:p>
    <w:p w14:paraId="18A6B3F8" w14:textId="77777777" w:rsidR="007F47C5" w:rsidRDefault="000666B8" w:rsidP="000666B8">
      <w:pPr>
        <w:spacing w:line="360" w:lineRule="auto"/>
        <w:jc w:val="both"/>
      </w:pPr>
      <w:r w:rsidRPr="007F47C5">
        <w:lastRenderedPageBreak/>
        <w:t xml:space="preserve">При одновременном применении ингибиторов АПФ с ингибиторами дипептидилпептидазы IV типа (ДПП-IY) (глиптинами), например ситаглиптином, саксаглиптином, вилдаглиптином, линаглиптином, возможно увеличение риска развития ангионевротического отека. </w:t>
      </w:r>
    </w:p>
    <w:p w14:paraId="401FDCC8" w14:textId="4E52EB76" w:rsidR="000666B8" w:rsidRPr="000666B8" w:rsidRDefault="000666B8" w:rsidP="000666B8">
      <w:pPr>
        <w:spacing w:line="360" w:lineRule="auto"/>
        <w:jc w:val="both"/>
        <w:rPr>
          <w:i/>
        </w:rPr>
      </w:pPr>
      <w:r w:rsidRPr="000666B8">
        <w:rPr>
          <w:i/>
        </w:rPr>
        <w:t>Препараты лития</w:t>
      </w:r>
    </w:p>
    <w:p w14:paraId="2165BDF9" w14:textId="77777777" w:rsidR="000666B8" w:rsidRPr="007F47C5" w:rsidRDefault="000666B8" w:rsidP="000666B8">
      <w:pPr>
        <w:spacing w:line="360" w:lineRule="auto"/>
        <w:jc w:val="both"/>
      </w:pPr>
      <w:r w:rsidRPr="007F47C5">
        <w:t>Как и другие лекарственные средства, влияющие на выведение натрия, ингибиторы АПФ могут снижать выведение лития почками, поэтому при одновременном применении препаратов лития и ингибиторов АПФ необходимо регулярно мониторировать концентрацию лития в сыворотке крови.</w:t>
      </w:r>
    </w:p>
    <w:p w14:paraId="5735C0B6" w14:textId="77777777" w:rsidR="000666B8" w:rsidRPr="000666B8" w:rsidRDefault="000666B8" w:rsidP="000666B8">
      <w:pPr>
        <w:spacing w:line="360" w:lineRule="auto"/>
        <w:jc w:val="both"/>
        <w:rPr>
          <w:i/>
        </w:rPr>
      </w:pPr>
      <w:r w:rsidRPr="000666B8">
        <w:rPr>
          <w:i/>
        </w:rPr>
        <w:t>Трициклические антидепрессанты / нейролептики / средства для общей анестезии / наркотические средства</w:t>
      </w:r>
    </w:p>
    <w:p w14:paraId="5E1FFAD0" w14:textId="77777777" w:rsidR="007F47C5" w:rsidRPr="007F47C5" w:rsidRDefault="000666B8" w:rsidP="000666B8">
      <w:pPr>
        <w:spacing w:line="360" w:lineRule="auto"/>
        <w:jc w:val="both"/>
      </w:pPr>
      <w:r w:rsidRPr="007F47C5">
        <w:t xml:space="preserve">Одновременное применение некоторых анестезирующих лекарственных средств, трициклических антидепрессантов и нейролептиков с ингибиторами АПФ может привести к дальнейшему снижению АД (см. раздел «Особые указания»). </w:t>
      </w:r>
    </w:p>
    <w:p w14:paraId="442EFC5B" w14:textId="0BE5DB73" w:rsidR="000666B8" w:rsidRPr="000666B8" w:rsidRDefault="000666B8" w:rsidP="000666B8">
      <w:pPr>
        <w:spacing w:line="360" w:lineRule="auto"/>
        <w:jc w:val="both"/>
        <w:rPr>
          <w:i/>
        </w:rPr>
      </w:pPr>
      <w:r w:rsidRPr="000666B8">
        <w:rPr>
          <w:i/>
        </w:rPr>
        <w:t>Этанол</w:t>
      </w:r>
    </w:p>
    <w:p w14:paraId="0C20951C" w14:textId="77777777" w:rsidR="007F47C5" w:rsidRPr="007F47C5" w:rsidRDefault="000666B8" w:rsidP="000666B8">
      <w:pPr>
        <w:spacing w:line="360" w:lineRule="auto"/>
        <w:jc w:val="both"/>
      </w:pPr>
      <w:r w:rsidRPr="007F47C5">
        <w:t xml:space="preserve">Этанол усиливает антигипертензивное действие ингибиторов АПФ. </w:t>
      </w:r>
    </w:p>
    <w:p w14:paraId="5993FAA9" w14:textId="59050DD7" w:rsidR="000666B8" w:rsidRPr="000666B8" w:rsidRDefault="000666B8" w:rsidP="000666B8">
      <w:pPr>
        <w:spacing w:line="360" w:lineRule="auto"/>
        <w:jc w:val="both"/>
        <w:rPr>
          <w:i/>
        </w:rPr>
      </w:pPr>
      <w:r w:rsidRPr="000666B8">
        <w:rPr>
          <w:i/>
        </w:rPr>
        <w:t>Ацетилсалициловая кислота, тромболитики и бета-адреноблокаторы</w:t>
      </w:r>
    </w:p>
    <w:p w14:paraId="1D0409CD" w14:textId="77777777" w:rsidR="000666B8" w:rsidRPr="007F47C5" w:rsidRDefault="000666B8" w:rsidP="000666B8">
      <w:pPr>
        <w:spacing w:line="360" w:lineRule="auto"/>
        <w:jc w:val="both"/>
      </w:pPr>
      <w:r w:rsidRPr="007F47C5">
        <w:t>Эналаприл можно применять одновременно с ацетилсалициловой кислотой (в качестве антиагрегантного средства), тромболитиками и бета-адреноблокаторами.</w:t>
      </w:r>
    </w:p>
    <w:p w14:paraId="3EF8C03C" w14:textId="77777777" w:rsidR="000666B8" w:rsidRPr="000666B8" w:rsidRDefault="000666B8" w:rsidP="000666B8">
      <w:pPr>
        <w:spacing w:line="360" w:lineRule="auto"/>
        <w:jc w:val="both"/>
        <w:rPr>
          <w:i/>
        </w:rPr>
      </w:pPr>
      <w:r w:rsidRPr="000666B8">
        <w:rPr>
          <w:i/>
        </w:rPr>
        <w:t>Симпатомиметики</w:t>
      </w:r>
    </w:p>
    <w:p w14:paraId="67F39191" w14:textId="77777777" w:rsidR="000666B8" w:rsidRPr="000666B8" w:rsidRDefault="000666B8" w:rsidP="000666B8">
      <w:pPr>
        <w:spacing w:line="360" w:lineRule="auto"/>
        <w:jc w:val="both"/>
        <w:rPr>
          <w:i/>
        </w:rPr>
      </w:pPr>
      <w:r w:rsidRPr="007F47C5">
        <w:t>Симпатомиметики могут снижать антигипертензивный эффект ингибиторов АПФ.</w:t>
      </w:r>
      <w:r w:rsidRPr="000666B8">
        <w:rPr>
          <w:i/>
        </w:rPr>
        <w:t xml:space="preserve"> Нестероидные противовоспалительные препараты (НПВП)</w:t>
      </w:r>
    </w:p>
    <w:p w14:paraId="0624445E" w14:textId="77777777" w:rsidR="000666B8" w:rsidRPr="007F47C5" w:rsidRDefault="000666B8" w:rsidP="000666B8">
      <w:pPr>
        <w:spacing w:line="360" w:lineRule="auto"/>
        <w:jc w:val="both"/>
      </w:pPr>
      <w:r w:rsidRPr="007F47C5">
        <w:t>НПВП, в том числе селективные ингибиторы циклооксигеназы-2 (ЦОГ-2), могут снижать эффект диуретиков и других гипотензивных средств. Вследствие этого антигипертензивный эффект антагонистов рецепторов ангиотензина II (АРА II) или ингибиторов АПФ может быть ослаблен при одновременном применении с НПВП, в том числе с селективными ингибиторами ЦОГ-2.</w:t>
      </w:r>
    </w:p>
    <w:p w14:paraId="31F0D390" w14:textId="77777777" w:rsidR="007F47C5" w:rsidRDefault="000666B8" w:rsidP="000666B8">
      <w:pPr>
        <w:spacing w:line="360" w:lineRule="auto"/>
        <w:jc w:val="both"/>
        <w:rPr>
          <w:i/>
        </w:rPr>
      </w:pPr>
      <w:r w:rsidRPr="007F47C5">
        <w:t xml:space="preserve">У некоторых пациентов с нарушенной функцией почек (например, у пожилых пациентов или пациентов с обезвоживанием, в том числе принимающих диуретики), получающих терапию НПВП, в том числе селективными ингибиторами ЦОГ-2, одновременное применение АРА II или ингибиторов АПФ может вызвать дальнейшее ухудшение функции почек, включая развитие острой почечной недостаточности. Данные эффекты обычно </w:t>
      </w:r>
      <w:r w:rsidRPr="007F47C5">
        <w:lastRenderedPageBreak/>
        <w:t>обратимы, поэтому одновременное применение данных лекарственных средств должно проводиться с осторожностью у пациентов с нарушенной функцией почек.</w:t>
      </w:r>
      <w:r w:rsidRPr="000666B8">
        <w:rPr>
          <w:i/>
        </w:rPr>
        <w:t xml:space="preserve"> </w:t>
      </w:r>
    </w:p>
    <w:p w14:paraId="385F71B6" w14:textId="7EF108B6" w:rsidR="000666B8" w:rsidRPr="000666B8" w:rsidRDefault="000666B8" w:rsidP="000666B8">
      <w:pPr>
        <w:spacing w:line="360" w:lineRule="auto"/>
        <w:jc w:val="both"/>
        <w:rPr>
          <w:i/>
        </w:rPr>
      </w:pPr>
      <w:r w:rsidRPr="000666B8">
        <w:rPr>
          <w:i/>
        </w:rPr>
        <w:t>Двойная блокада ренин-ангиотензин-алъдостероновой системы.</w:t>
      </w:r>
    </w:p>
    <w:p w14:paraId="409A295C" w14:textId="77777777" w:rsidR="000666B8" w:rsidRPr="007F47C5" w:rsidRDefault="000666B8" w:rsidP="000666B8">
      <w:pPr>
        <w:spacing w:line="360" w:lineRule="auto"/>
        <w:jc w:val="both"/>
      </w:pPr>
      <w:r w:rsidRPr="007F47C5">
        <w:t>Двойная блокада РААС с применением АРА II, ингибиторов АПФ или алискирена (ингибитор ренина) ассоциирована с повышенным риском развития артериальной гипотензии, обморока, гиперкалиемии и нарушений функции почек (в том числе острой почечной недостаточности) по сравнению с монотерапией. Необходим регулярный контроль АД, функции почек и содержания электролитов в крови у пациентов, принимающих одновременно эналаприл и другие лекарственные средства, влияющие на РААС.</w:t>
      </w:r>
    </w:p>
    <w:p w14:paraId="75318AE1" w14:textId="77777777" w:rsidR="000666B8" w:rsidRPr="007F47C5" w:rsidRDefault="000666B8" w:rsidP="000666B8">
      <w:pPr>
        <w:spacing w:line="360" w:lineRule="auto"/>
        <w:jc w:val="both"/>
      </w:pPr>
      <w:r w:rsidRPr="007F47C5">
        <w:t>Одновременное применение ингибиторов АПФ с препаратами, содержащими алискирен, противопоказано у пациентов с сахарным диабетом и/или с умеренной или тяжелой почечной недостаточностью (СКФ менее 60 мл/мин/1,73 м</w:t>
      </w:r>
      <w:r w:rsidRPr="007F47C5">
        <w:rPr>
          <w:vertAlign w:val="superscript"/>
        </w:rPr>
        <w:t>2</w:t>
      </w:r>
      <w:r w:rsidRPr="007F47C5">
        <w:t xml:space="preserve"> площади поверхности тела) и не рекомендуется у других пациентов.</w:t>
      </w:r>
    </w:p>
    <w:p w14:paraId="08A9DF7D" w14:textId="77777777" w:rsidR="000666B8" w:rsidRPr="007F47C5" w:rsidRDefault="000666B8" w:rsidP="000666B8">
      <w:pPr>
        <w:spacing w:line="360" w:lineRule="auto"/>
        <w:jc w:val="both"/>
      </w:pPr>
      <w:r w:rsidRPr="007F47C5">
        <w:t>Одновременное применение ингибиторов АПФ с антагонистами рецепторов ангиотензина II противопоказано у пациентов с диабетической нефропатией и не рекомендуется у других пациентов.</w:t>
      </w:r>
    </w:p>
    <w:p w14:paraId="77EF7AB9" w14:textId="77777777" w:rsidR="000666B8" w:rsidRPr="000666B8" w:rsidRDefault="000666B8" w:rsidP="000666B8">
      <w:pPr>
        <w:spacing w:line="360" w:lineRule="auto"/>
        <w:jc w:val="both"/>
        <w:rPr>
          <w:i/>
        </w:rPr>
      </w:pPr>
      <w:r w:rsidRPr="000666B8">
        <w:rPr>
          <w:i/>
        </w:rPr>
        <w:t>Препараты золота</w:t>
      </w:r>
    </w:p>
    <w:p w14:paraId="394413E1" w14:textId="77777777" w:rsidR="000666B8" w:rsidRPr="007F47C5" w:rsidRDefault="000666B8" w:rsidP="000666B8">
      <w:pPr>
        <w:spacing w:line="360" w:lineRule="auto"/>
        <w:jc w:val="both"/>
      </w:pPr>
      <w:r w:rsidRPr="007F47C5">
        <w:t>Симптомокомплекс (нитратоподобные реакции), включающий «прилив» крови к коже лица, тошноту, рвоту и артериальную гипотензию, наблюдался в редких случаях при одновременном применении препаратов золота для парентерального введения (натрия ауротиомалат) и ингибиторов АПФ, включая эналаприл.</w:t>
      </w:r>
    </w:p>
    <w:p w14:paraId="7FE8204E" w14:textId="77777777" w:rsidR="007F47C5" w:rsidRDefault="000666B8" w:rsidP="000666B8">
      <w:pPr>
        <w:spacing w:line="360" w:lineRule="auto"/>
        <w:jc w:val="both"/>
        <w:rPr>
          <w:i/>
        </w:rPr>
      </w:pPr>
      <w:r w:rsidRPr="000666B8">
        <w:rPr>
          <w:i/>
        </w:rPr>
        <w:t xml:space="preserve">Ингибиторы mTOR (mammalion Target of Rapamycin - мишень рапамицина в клетках млекопитающих) (например, темсиролимус, сиролимус, эверолимус) </w:t>
      </w:r>
    </w:p>
    <w:p w14:paraId="03BB5E35" w14:textId="072C49A6" w:rsidR="000666B8" w:rsidRDefault="000666B8" w:rsidP="000666B8">
      <w:pPr>
        <w:spacing w:line="360" w:lineRule="auto"/>
        <w:jc w:val="both"/>
      </w:pPr>
      <w:r w:rsidRPr="007F47C5">
        <w:t>У пациентов, принимающих одновременно ингибиторы АПФ и ингибиторы mTOR, наблюдалось увеличение риска развития ангионевротического отека (см. раздел «Особые указания»).</w:t>
      </w:r>
    </w:p>
    <w:p w14:paraId="23279F5B" w14:textId="77777777" w:rsidR="006861C1" w:rsidRDefault="006861C1" w:rsidP="000666B8">
      <w:pPr>
        <w:spacing w:line="360" w:lineRule="auto"/>
        <w:jc w:val="both"/>
      </w:pPr>
      <w:r w:rsidRPr="006861C1">
        <w:rPr>
          <w:i/>
        </w:rPr>
        <w:t>Ингибиторы нейтральной эндопептидазы</w:t>
      </w:r>
      <w:r w:rsidRPr="006861C1">
        <w:t xml:space="preserve"> </w:t>
      </w:r>
    </w:p>
    <w:p w14:paraId="42003BE7" w14:textId="77777777" w:rsidR="006861C1" w:rsidRDefault="006861C1" w:rsidP="000666B8">
      <w:pPr>
        <w:spacing w:line="360" w:lineRule="auto"/>
        <w:jc w:val="both"/>
      </w:pPr>
      <w:r w:rsidRPr="006861C1">
        <w:t>Сообщалось о повышенном риске развития ангион</w:t>
      </w:r>
      <w:r>
        <w:t>евротического отека при одновре</w:t>
      </w:r>
      <w:r w:rsidRPr="006861C1">
        <w:t>менном применении ингибиторов АПФ и рацекадотрила (ингибитор энкефалиназы, применяемый для лечения острой диареи). При од</w:t>
      </w:r>
      <w:r>
        <w:t xml:space="preserve">новременном применении ингибиторов АПФ с лекарственными </w:t>
      </w:r>
      <w:r w:rsidRPr="006861C1">
        <w:t xml:space="preserve">препаратами, содержащими </w:t>
      </w:r>
      <w:r>
        <w:t>сакубитрил (ингибитор не</w:t>
      </w:r>
      <w:r w:rsidRPr="006861C1">
        <w:t>прилизин</w:t>
      </w:r>
      <w:r>
        <w:t>а), возрастает риск развития ан</w:t>
      </w:r>
      <w:r w:rsidRPr="006861C1">
        <w:t>гионевроти</w:t>
      </w:r>
      <w:r>
        <w:t>ческого отека, в связи с чем од</w:t>
      </w:r>
      <w:r w:rsidRPr="006861C1">
        <w:t xml:space="preserve">новременное </w:t>
      </w:r>
      <w:r>
        <w:lastRenderedPageBreak/>
        <w:t>применение указанных препа</w:t>
      </w:r>
      <w:r w:rsidRPr="006861C1">
        <w:t xml:space="preserve">ратов противопоказано. Ингибиторы АПФ следует назначать не ранее, чем через 36 часов после отмены препаратов, </w:t>
      </w:r>
      <w:r>
        <w:t>содер</w:t>
      </w:r>
      <w:r w:rsidRPr="006861C1">
        <w:t>жащих сакубитрил. Противопоказано назначе</w:t>
      </w:r>
      <w:r>
        <w:t>ние препаратов, содержащих саку</w:t>
      </w:r>
      <w:r w:rsidRPr="006861C1">
        <w:t>битрил,</w:t>
      </w:r>
      <w:r>
        <w:t xml:space="preserve"> пациентам, получающим ингибито</w:t>
      </w:r>
      <w:r w:rsidRPr="006861C1">
        <w:t xml:space="preserve">ры АПФ, а также в течение 36 часов после отмены ингибиторов АПФ. </w:t>
      </w:r>
    </w:p>
    <w:p w14:paraId="09149A8F" w14:textId="77777777" w:rsidR="006861C1" w:rsidRPr="006861C1" w:rsidRDefault="006861C1" w:rsidP="000666B8">
      <w:pPr>
        <w:spacing w:line="360" w:lineRule="auto"/>
        <w:jc w:val="both"/>
        <w:rPr>
          <w:i/>
        </w:rPr>
      </w:pPr>
      <w:r w:rsidRPr="006861C1">
        <w:rPr>
          <w:i/>
        </w:rPr>
        <w:t xml:space="preserve">Тканевые активаторы плазминогена </w:t>
      </w:r>
    </w:p>
    <w:p w14:paraId="4176814A" w14:textId="3194F2D0" w:rsidR="006861C1" w:rsidRPr="007F47C5" w:rsidRDefault="006861C1" w:rsidP="000666B8">
      <w:pPr>
        <w:spacing w:line="360" w:lineRule="auto"/>
        <w:jc w:val="both"/>
      </w:pPr>
      <w:r w:rsidRPr="006861C1">
        <w:t>В обсервационных исследованиях выявлена повышен</w:t>
      </w:r>
      <w:r>
        <w:t>ная частота развития ангионевро</w:t>
      </w:r>
      <w:r w:rsidRPr="006861C1">
        <w:t>тического отека у пациентов, принимавших ингибит</w:t>
      </w:r>
      <w:r>
        <w:t>оры АПФ, после применения алте</w:t>
      </w:r>
      <w:r w:rsidRPr="006861C1">
        <w:t>плазы дл</w:t>
      </w:r>
      <w:r>
        <w:t>я тромболитической терапии ише</w:t>
      </w:r>
      <w:r w:rsidRPr="006861C1">
        <w:t>мического инсульта.</w:t>
      </w:r>
    </w:p>
    <w:p w14:paraId="4619C4F6" w14:textId="77777777" w:rsidR="000666B8" w:rsidRPr="000666B8" w:rsidRDefault="000666B8" w:rsidP="000666B8">
      <w:pPr>
        <w:spacing w:line="360" w:lineRule="auto"/>
        <w:jc w:val="both"/>
        <w:rPr>
          <w:i/>
        </w:rPr>
      </w:pPr>
      <w:r w:rsidRPr="000666B8">
        <w:rPr>
          <w:i/>
        </w:rPr>
        <w:t>Другие лекарственные средства</w:t>
      </w:r>
    </w:p>
    <w:p w14:paraId="65A5E390" w14:textId="77777777" w:rsidR="000666B8" w:rsidRPr="007F47C5" w:rsidRDefault="000666B8" w:rsidP="000666B8">
      <w:pPr>
        <w:spacing w:line="360" w:lineRule="auto"/>
        <w:jc w:val="both"/>
      </w:pPr>
      <w:r w:rsidRPr="007F47C5">
        <w:t>Не наблюдалось клинически значимого фармакокинетического лекарственного взаимодействия между эналаприлом и следующими лекарственными средствами: гидрохлоротиазидом, фуросемидом, дигоксином, тимололом, метилдопой, варфарином, индометацином, сулиндаком и циметидином. При одновременном применении эналаприла и пропранолола снижается концентрация эналаприлата в сыворотке крови, но данный эффект не является клинически значимым.</w:t>
      </w:r>
    </w:p>
    <w:p w14:paraId="2817EF1E" w14:textId="77777777" w:rsidR="000666B8" w:rsidRPr="007F47C5" w:rsidRDefault="000666B8" w:rsidP="000666B8">
      <w:pPr>
        <w:spacing w:line="360" w:lineRule="auto"/>
        <w:jc w:val="both"/>
      </w:pPr>
      <w:r w:rsidRPr="007F47C5">
        <w:t>При одновременном применении ингибиторов АПФ с препаратами, содержащими ко-тримоксазол [триметоприм + сульфаметоксазол], наблюдалось увеличение риска развития гиперкалиемии.</w:t>
      </w:r>
    </w:p>
    <w:p w14:paraId="49121BC7" w14:textId="3A33F34C" w:rsidR="007F47C5" w:rsidRDefault="000666B8" w:rsidP="000666B8">
      <w:pPr>
        <w:spacing w:line="360" w:lineRule="auto"/>
        <w:jc w:val="both"/>
        <w:rPr>
          <w:i/>
        </w:rPr>
      </w:pPr>
      <w:r w:rsidRPr="007F47C5">
        <w:t>При одновременном применении ингибиторов АПФ с эстрамустином наблюдалось увеличение риска развития ангионевротического отека.</w:t>
      </w:r>
      <w:r w:rsidRPr="000666B8">
        <w:rPr>
          <w:i/>
        </w:rPr>
        <w:t xml:space="preserve"> </w:t>
      </w:r>
    </w:p>
    <w:p w14:paraId="05975F7C" w14:textId="77777777" w:rsidR="00C23EEB" w:rsidRPr="007F47C5" w:rsidRDefault="00C23EEB" w:rsidP="00C23EEB">
      <w:pPr>
        <w:spacing w:line="360" w:lineRule="auto"/>
        <w:jc w:val="both"/>
        <w:rPr>
          <w:b/>
        </w:rPr>
      </w:pPr>
      <w:r w:rsidRPr="007F47C5">
        <w:rPr>
          <w:b/>
        </w:rPr>
        <w:t>Особые указания</w:t>
      </w:r>
    </w:p>
    <w:p w14:paraId="1B36C11C" w14:textId="77777777" w:rsidR="00C23EEB" w:rsidRPr="000666B8" w:rsidRDefault="00C23EEB" w:rsidP="00C23EEB">
      <w:pPr>
        <w:spacing w:line="360" w:lineRule="auto"/>
        <w:jc w:val="both"/>
        <w:rPr>
          <w:i/>
        </w:rPr>
      </w:pPr>
      <w:r w:rsidRPr="000666B8">
        <w:rPr>
          <w:i/>
        </w:rPr>
        <w:t>Симптоматическая артериальная гипотензия</w:t>
      </w:r>
    </w:p>
    <w:p w14:paraId="1E9B1755" w14:textId="77777777" w:rsidR="00C23EEB" w:rsidRPr="007F47C5" w:rsidRDefault="00C23EEB" w:rsidP="00C23EEB">
      <w:pPr>
        <w:spacing w:line="360" w:lineRule="auto"/>
        <w:jc w:val="both"/>
      </w:pPr>
      <w:r w:rsidRPr="007F47C5">
        <w:t>Симптоматическая артериальная гипотензия редко наблюдается у пациентов с неосложненной АГ. У пациентов с АГ, принимающих эналаприл, артериальная гипотензия развивается чаще на фоне обезвоживания, возникающего, например, в результате терапии диуретиками, ограничения потребления поваренной соли, у пациентов, находящихся на диализе, а также у пациентов с диареей или рвотой (см. разделы «Побочное действие»; «Взаимодействие с другими лекарственными средствами»).</w:t>
      </w:r>
    </w:p>
    <w:p w14:paraId="3EDAC848" w14:textId="77777777" w:rsidR="00C23EEB" w:rsidRDefault="00C23EEB" w:rsidP="00C23EEB">
      <w:pPr>
        <w:spacing w:line="360" w:lineRule="auto"/>
        <w:jc w:val="both"/>
      </w:pPr>
      <w:r w:rsidRPr="007F47C5">
        <w:t xml:space="preserve">Симптоматическая артериальная гипотензия наблюдалась и у пациентов с СН, сопровождающейся почечной недостаточностью или без нее. Артериальная гипотензия развивается чаще у пациентов с более тяжелой степенью СН с гипонатриемией или нарушениями функции почек, у которых применяются более высокие дозы «петлевых» </w:t>
      </w:r>
      <w:r w:rsidRPr="007F47C5">
        <w:lastRenderedPageBreak/>
        <w:t xml:space="preserve">диуретиков. У данных пациентов лечение эналаприлом следует начинать под врачебным контролем, который должен быть особенно тщательным при изменении дозы эналаприла и/или диуретика. Аналогичным образом следует наблюдать за пациентами с ишемической болезнью сердца или с цереброваскулярными заболеваниями, у которых чрезмерное снижение АД может привести к развитию инфаркта миокарда или инсульта. </w:t>
      </w:r>
    </w:p>
    <w:p w14:paraId="6A425908" w14:textId="77777777" w:rsidR="00C23EEB" w:rsidRDefault="00C23EEB" w:rsidP="00C23EEB">
      <w:pPr>
        <w:spacing w:line="360" w:lineRule="auto"/>
        <w:jc w:val="both"/>
        <w:rPr>
          <w:i/>
        </w:rPr>
      </w:pPr>
      <w:r w:rsidRPr="007F47C5">
        <w:t>При развитии артериальной гипотензии пациента следует уложить и, в случае необходимости, ввести 0,9 % раствор натрия хлорида. Транзиторная артериальная гипотензия при приеме эналаприла не является противопоказанием к дальнейшему применению и увеличению дозы препарата, которое может быть продолжено после восполнения объема жидкости и нормализации АД. У некоторых пациентов с СН и с нормальным или сниженным АД эналаприл может вызвать дополнительное снижение АД. Данная реакция на прием препарата ожидаема и не является основанием для прекращения лечения. В тех случаях, когда артериальная гипотензия принимает стабильный характер, следует снизить дозу и/или прекратить лечение диуретиком и/или эналаприлом.</w:t>
      </w:r>
      <w:r w:rsidRPr="000666B8">
        <w:rPr>
          <w:i/>
        </w:rPr>
        <w:t xml:space="preserve"> </w:t>
      </w:r>
    </w:p>
    <w:p w14:paraId="0E5E70CF" w14:textId="77777777" w:rsidR="00C23EEB" w:rsidRDefault="00C23EEB" w:rsidP="00C23EEB">
      <w:pPr>
        <w:spacing w:line="360" w:lineRule="auto"/>
        <w:jc w:val="both"/>
        <w:rPr>
          <w:i/>
        </w:rPr>
      </w:pPr>
      <w:r w:rsidRPr="000666B8">
        <w:rPr>
          <w:i/>
        </w:rPr>
        <w:t xml:space="preserve">Аортальный или митральный стеноз /гипертрофическая обструктивная кардиомиопатия </w:t>
      </w:r>
      <w:r w:rsidRPr="007F47C5">
        <w:t>Как и все лекарственные средства, обладающие вазодилатирующим действием, ингибиторы АПФ должны с осторожностью назначаться пациентам с обструкцией пути оттока из левого желудочка.</w:t>
      </w:r>
      <w:r w:rsidRPr="000666B8">
        <w:rPr>
          <w:i/>
        </w:rPr>
        <w:t xml:space="preserve"> </w:t>
      </w:r>
    </w:p>
    <w:p w14:paraId="581A7410" w14:textId="77777777" w:rsidR="00C23EEB" w:rsidRPr="000666B8" w:rsidRDefault="00C23EEB" w:rsidP="00C23EEB">
      <w:pPr>
        <w:spacing w:line="360" w:lineRule="auto"/>
        <w:jc w:val="both"/>
        <w:rPr>
          <w:i/>
        </w:rPr>
      </w:pPr>
      <w:r w:rsidRPr="000666B8">
        <w:rPr>
          <w:i/>
        </w:rPr>
        <w:t>Нарушение функции почек</w:t>
      </w:r>
    </w:p>
    <w:p w14:paraId="09E372DE" w14:textId="77777777" w:rsidR="00C23EEB" w:rsidRPr="007F47C5" w:rsidRDefault="00C23EEB" w:rsidP="00C23EEB">
      <w:pPr>
        <w:spacing w:line="360" w:lineRule="auto"/>
        <w:jc w:val="both"/>
      </w:pPr>
      <w:r w:rsidRPr="007F47C5">
        <w:t>У некоторых пациентов артериальная гипотензия, развивающаяся после начала лечения ингибиторами АПФ, может привести к дальнейшему ухудшению функции почек. В некоторых случаях сообщалось о развитии острой почечной недостаточности, обычно обратимого характера.</w:t>
      </w:r>
    </w:p>
    <w:p w14:paraId="75BA5515" w14:textId="77777777" w:rsidR="00C23EEB" w:rsidRPr="007F47C5" w:rsidRDefault="00C23EEB" w:rsidP="00C23EEB">
      <w:pPr>
        <w:spacing w:line="360" w:lineRule="auto"/>
        <w:jc w:val="both"/>
      </w:pPr>
      <w:r w:rsidRPr="007F47C5">
        <w:t>У пациентов с почечной недостаточностью может потребоваться снижение дозы и/или частоты приема препарата (см. раздел «Способ применения и дозы»), У некоторых пациентов с двусторонним стенозом почечных артерий или стенозом артерии единственной почки наблюдалось повышение концентрации мочевины в крови и креатинина в сыворотке крови. Изменения обычно носили обратимый характер, и показатели возвращались к исходным значениям после прекращения лечения. Данный характер изменений наиболее вероятен у пациентов с почечной недостаточностью.</w:t>
      </w:r>
    </w:p>
    <w:p w14:paraId="085F0DCE" w14:textId="77777777" w:rsidR="00C23EEB" w:rsidRDefault="00C23EEB" w:rsidP="00C23EEB">
      <w:pPr>
        <w:spacing w:line="360" w:lineRule="auto"/>
        <w:jc w:val="both"/>
        <w:rPr>
          <w:i/>
        </w:rPr>
      </w:pPr>
      <w:r w:rsidRPr="007F47C5">
        <w:t xml:space="preserve">У некоторых пациентов, у которых не обнаруживалось заболеваний почек до начала лечения, эналаприл в сочетании с диуретиками вызывал обычно незначительное и транзиторное повышение концентрации мочевины в крови и креатинина в сыворотке крови. </w:t>
      </w:r>
      <w:r w:rsidRPr="007F47C5">
        <w:lastRenderedPageBreak/>
        <w:t>В таких случаях может потребоваться снижение дозы и/или отмена диуретика и/или эналаприла.</w:t>
      </w:r>
      <w:r w:rsidRPr="000666B8">
        <w:rPr>
          <w:i/>
        </w:rPr>
        <w:t xml:space="preserve"> </w:t>
      </w:r>
    </w:p>
    <w:p w14:paraId="41A13F06" w14:textId="77777777" w:rsidR="00C23EEB" w:rsidRPr="000666B8" w:rsidRDefault="00C23EEB" w:rsidP="00C23EEB">
      <w:pPr>
        <w:spacing w:line="360" w:lineRule="auto"/>
        <w:jc w:val="both"/>
        <w:rPr>
          <w:i/>
        </w:rPr>
      </w:pPr>
      <w:r w:rsidRPr="000666B8">
        <w:rPr>
          <w:i/>
        </w:rPr>
        <w:t>Трансплантация почки</w:t>
      </w:r>
    </w:p>
    <w:p w14:paraId="61FBA2F1" w14:textId="77777777" w:rsidR="00C23EEB" w:rsidRDefault="00C23EEB" w:rsidP="00C23EEB">
      <w:pPr>
        <w:spacing w:line="360" w:lineRule="auto"/>
        <w:jc w:val="both"/>
        <w:rPr>
          <w:i/>
        </w:rPr>
      </w:pPr>
      <w:r w:rsidRPr="007F47C5">
        <w:t>Нет опыта применения у пациентов после трансплантации почки, поэтому лечение эналаприлом не рекомендуется у пациентов после трансплантации почки.</w:t>
      </w:r>
      <w:r w:rsidRPr="000666B8">
        <w:rPr>
          <w:i/>
        </w:rPr>
        <w:t xml:space="preserve"> </w:t>
      </w:r>
    </w:p>
    <w:p w14:paraId="0DA6E89F" w14:textId="77777777" w:rsidR="00C23EEB" w:rsidRPr="000666B8" w:rsidRDefault="00C23EEB" w:rsidP="00C23EEB">
      <w:pPr>
        <w:spacing w:line="360" w:lineRule="auto"/>
        <w:jc w:val="both"/>
        <w:rPr>
          <w:i/>
        </w:rPr>
      </w:pPr>
      <w:r w:rsidRPr="000666B8">
        <w:rPr>
          <w:i/>
        </w:rPr>
        <w:t>Печеночная недостаточность</w:t>
      </w:r>
    </w:p>
    <w:p w14:paraId="5736D2E8" w14:textId="77777777" w:rsidR="00C23EEB" w:rsidRDefault="00C23EEB" w:rsidP="00C23EEB">
      <w:pPr>
        <w:spacing w:line="360" w:lineRule="auto"/>
        <w:jc w:val="both"/>
        <w:rPr>
          <w:i/>
        </w:rPr>
      </w:pPr>
      <w:r w:rsidRPr="007F47C5">
        <w:t>Применение ингибиторов АПФ редко было связано с развитием синдрома, начинающегося с холестатической желтухи или гепатита и прогрессирующего до фульминантного некроза печени, иногда с летальным исходом. Механизм данного синдрома не изучен. При появлении желтухи или значительном повышении активности «печеночных» трансаминаз на фоне применения ингибиторов АПФ следует отменить прием препарата и назначить соответствующую вспомогательную терапию. Пациент должен находиться под соответствующим наблюдением.</w:t>
      </w:r>
      <w:r w:rsidRPr="000666B8">
        <w:rPr>
          <w:i/>
        </w:rPr>
        <w:t xml:space="preserve"> </w:t>
      </w:r>
    </w:p>
    <w:p w14:paraId="6D46027E" w14:textId="77777777" w:rsidR="00C23EEB" w:rsidRPr="000666B8" w:rsidRDefault="00C23EEB" w:rsidP="00C23EEB">
      <w:pPr>
        <w:spacing w:line="360" w:lineRule="auto"/>
        <w:jc w:val="both"/>
        <w:rPr>
          <w:i/>
        </w:rPr>
      </w:pPr>
      <w:r w:rsidRPr="000666B8">
        <w:rPr>
          <w:i/>
        </w:rPr>
        <w:t>Нейтропения/агранулоцитоз</w:t>
      </w:r>
    </w:p>
    <w:p w14:paraId="31DA9169" w14:textId="77777777" w:rsidR="00C23EEB" w:rsidRDefault="00C23EEB" w:rsidP="00C23EEB">
      <w:pPr>
        <w:spacing w:line="360" w:lineRule="auto"/>
        <w:jc w:val="both"/>
      </w:pPr>
      <w:r w:rsidRPr="007F47C5">
        <w:t xml:space="preserve">Нейтропения/агранулоцитоз, тромбоцитопения и анемия наблюдались у пациентов, принимающих ингибиторы АПФ. Нейтропения возникает редко у пациентов с нормальной функцией почек и без других осложняющих факторов. Эналаприл следует применять с особой осторожностью у пациентов с системными заболеваниями соединительной ткани (системная красная волчанка, склеродермия и др.), принимающих иммуносупрессивную терапию, аллопуринол или прокаинамид, или комбинацией указанных осложняющих факторов, особенно если уже есть существующие нарушения функции почек. У некоторых из этих пациентов развились серьезные инфекционные заболевания, которые в ряде случаев не отвечали на интенсивную терапию антибиотиками. Если у таких пациентов применяется эналаприл, рекомендуется проведение регулярного контроля количества лейкоцитов и лимфоцитов в крови и пациентов следует предупредить о необходимости сообщать о любых признаках инфекционного заболевания. </w:t>
      </w:r>
    </w:p>
    <w:p w14:paraId="290949E1" w14:textId="77777777" w:rsidR="00C23EEB" w:rsidRPr="000666B8" w:rsidRDefault="00C23EEB" w:rsidP="00C23EEB">
      <w:pPr>
        <w:spacing w:line="360" w:lineRule="auto"/>
        <w:jc w:val="both"/>
        <w:rPr>
          <w:i/>
        </w:rPr>
      </w:pPr>
      <w:r w:rsidRPr="000666B8">
        <w:rPr>
          <w:i/>
        </w:rPr>
        <w:t>Реакции гиперчувствителъности / ангионевротический отек</w:t>
      </w:r>
    </w:p>
    <w:p w14:paraId="64640352" w14:textId="77777777" w:rsidR="00C23EEB" w:rsidRPr="007F47C5" w:rsidRDefault="00C23EEB" w:rsidP="00C23EEB">
      <w:pPr>
        <w:spacing w:line="360" w:lineRule="auto"/>
        <w:jc w:val="both"/>
      </w:pPr>
      <w:r w:rsidRPr="007F47C5">
        <w:t xml:space="preserve">При применении ингибиторов АПФ, включая эналаприл, наблюдались редкие случаи ангионевротического отека лица, конечностей, губ, языка, голосовых складок и/или гортани, возникавшие в разные периоды лечения. В очень редких случаях сообщалось о развитии интестинального отека. В таких случаях следует немедленно прекратить прием эналаприла и тщательно наблюдать за состоянием пациента с целью контроля и коррекции клинических симптомов. Даже в тех случаях, когда наблюдается только отек языка без </w:t>
      </w:r>
      <w:r w:rsidRPr="007F47C5">
        <w:lastRenderedPageBreak/>
        <w:t>развития респираторного дистресс-синдрома, пациентам может потребоваться длительное наблюдение, поскольку терапия антигистаминными средствами и кортикостероидами может быть недостаточной.</w:t>
      </w:r>
    </w:p>
    <w:p w14:paraId="6BE03EAC" w14:textId="77777777" w:rsidR="00C23EEB" w:rsidRPr="007F47C5" w:rsidRDefault="00C23EEB" w:rsidP="00C23EEB">
      <w:pPr>
        <w:spacing w:line="360" w:lineRule="auto"/>
        <w:jc w:val="both"/>
      </w:pPr>
      <w:r w:rsidRPr="007F47C5">
        <w:t>Очень редко сообщалось о летальном исходе по причине ангионевротического отека, связанного с отеком гортани или отеком языка. Отек языка, голосовых складок или гортани может привести к обструкции дыхательных путей, особенно у пациентов, перенесших хирургические вмешательства на органах дыхания. В тех случаях, когда отек локализуется в области языка, голосовых складок или гортани и может вызвать обструкцию дыхательных путей, следует немедленно назначить соответствующее лечение, которое может включать подкожное введение 0,1 % раствора эпинефрина (адреналина) (0,3-0,5 мл) и/или обеспечить проходимость дыхательных путей.</w:t>
      </w:r>
    </w:p>
    <w:p w14:paraId="14D13D2E" w14:textId="77777777" w:rsidR="00C23EEB" w:rsidRPr="007F47C5" w:rsidRDefault="00C23EEB" w:rsidP="00C23EEB">
      <w:pPr>
        <w:spacing w:line="360" w:lineRule="auto"/>
        <w:jc w:val="both"/>
      </w:pPr>
      <w:r w:rsidRPr="007F47C5">
        <w:t>У пациентов негроидной расы, принимавших ингибиторы АПФ, ангионевротический отек наблюдался чаще, чем у пациентов других рас.</w:t>
      </w:r>
    </w:p>
    <w:p w14:paraId="3A24C861" w14:textId="77777777" w:rsidR="00C23EEB" w:rsidRPr="007F47C5" w:rsidRDefault="00C23EEB" w:rsidP="00C23EEB">
      <w:pPr>
        <w:spacing w:line="360" w:lineRule="auto"/>
        <w:jc w:val="both"/>
      </w:pPr>
      <w:r w:rsidRPr="007F47C5">
        <w:t>Пациенты, имеющие в анамнезе ангионевротический отек, не связанный с приемом ингибиторов АПФ, могут быть в большей степени подвержены риску развития ангионевротического отека на фоне терапии ингибиторами АПФ (см. раздел «Противопоказания »).</w:t>
      </w:r>
    </w:p>
    <w:p w14:paraId="302813B2" w14:textId="77777777" w:rsidR="00C23EEB" w:rsidRPr="007F47C5" w:rsidRDefault="00C23EEB" w:rsidP="00C23EEB">
      <w:pPr>
        <w:spacing w:line="360" w:lineRule="auto"/>
        <w:jc w:val="both"/>
      </w:pPr>
      <w:r w:rsidRPr="007F47C5">
        <w:t>У пациентов, принимающих одновременно ингибиторы АПФ и ингибиторы mTOR, наблюдалось увеличение риска развития ангионевротического отека.</w:t>
      </w:r>
    </w:p>
    <w:p w14:paraId="0C886112" w14:textId="77777777" w:rsidR="00C23EEB" w:rsidRPr="000666B8" w:rsidRDefault="00C23EEB" w:rsidP="00C23EEB">
      <w:pPr>
        <w:spacing w:line="360" w:lineRule="auto"/>
        <w:jc w:val="both"/>
        <w:rPr>
          <w:i/>
        </w:rPr>
      </w:pPr>
      <w:r w:rsidRPr="000666B8">
        <w:rPr>
          <w:i/>
        </w:rPr>
        <w:t>Анафилактоидные реакции во время проведения десенсибили</w:t>
      </w:r>
      <w:r>
        <w:rPr>
          <w:i/>
        </w:rPr>
        <w:t>зации аллергеном из яда перепончатокрыл</w:t>
      </w:r>
      <w:r w:rsidRPr="000666B8">
        <w:rPr>
          <w:i/>
        </w:rPr>
        <w:t>ых</w:t>
      </w:r>
    </w:p>
    <w:p w14:paraId="67009500" w14:textId="77777777" w:rsidR="00C23EEB" w:rsidRPr="007F47C5" w:rsidRDefault="00C23EEB" w:rsidP="00C23EEB">
      <w:pPr>
        <w:spacing w:line="360" w:lineRule="auto"/>
        <w:jc w:val="both"/>
      </w:pPr>
      <w:r w:rsidRPr="007F47C5">
        <w:t xml:space="preserve">В редких случаях у пациентов, принимающих ингибиторы АПФ, развивались угрожающие жизни анафилактоидные реакции во время проведения десенсибилизации аллергеном из яда перепончатокрылых. Нежелательных реакций можно избежать, если до начала проведения десенсибилизации временно прекратить прием ингибитора АПФ. </w:t>
      </w:r>
      <w:r w:rsidRPr="007B3F39">
        <w:rPr>
          <w:i/>
        </w:rPr>
        <w:t>Анафилактоидные реакции во время проведения ЛПНП-афереза</w:t>
      </w:r>
    </w:p>
    <w:p w14:paraId="1C611A50" w14:textId="77777777" w:rsidR="00C23EEB" w:rsidRPr="007B3F39" w:rsidRDefault="00C23EEB" w:rsidP="00C23EEB">
      <w:pPr>
        <w:spacing w:line="360" w:lineRule="auto"/>
        <w:jc w:val="both"/>
      </w:pPr>
      <w:r w:rsidRPr="007F47C5">
        <w:t>У пациентов, принимающих ингибиторы АПФ во время проведения ЛПНП-афереза с использованием декстран сульфата, редко наблюдались опасные для жизни</w:t>
      </w:r>
      <w:r>
        <w:t xml:space="preserve"> </w:t>
      </w:r>
      <w:r w:rsidRPr="007F47C5">
        <w:t>анафилактоидные реакции. Развития данных реакций можно избежать, если временно отменить ингибитор АПФ до начала каждой процедуры ЛПНП-афереза.</w:t>
      </w:r>
      <w:r w:rsidRPr="000666B8">
        <w:rPr>
          <w:i/>
        </w:rPr>
        <w:t xml:space="preserve"> </w:t>
      </w:r>
    </w:p>
    <w:p w14:paraId="543B2576" w14:textId="77777777" w:rsidR="00C23EEB" w:rsidRPr="000666B8" w:rsidRDefault="00C23EEB" w:rsidP="00C23EEB">
      <w:pPr>
        <w:spacing w:line="360" w:lineRule="auto"/>
        <w:jc w:val="both"/>
        <w:rPr>
          <w:i/>
        </w:rPr>
      </w:pPr>
      <w:r w:rsidRPr="000666B8">
        <w:rPr>
          <w:i/>
        </w:rPr>
        <w:t>Пациенты, находящиеся на гемодиализе</w:t>
      </w:r>
    </w:p>
    <w:p w14:paraId="7C18F4C2" w14:textId="77777777" w:rsidR="00C23EEB" w:rsidRPr="007F47C5" w:rsidRDefault="00C23EEB" w:rsidP="00C23EEB">
      <w:pPr>
        <w:spacing w:line="360" w:lineRule="auto"/>
        <w:jc w:val="both"/>
      </w:pPr>
      <w:r w:rsidRPr="007F47C5">
        <w:lastRenderedPageBreak/>
        <w:t>Анафилактоидные реакции наблюдались у пациентов, находящихся на диализе с применением высокопроточных мембран (таких как AN 69®) и одновременно получающих терапию ингибиторами АПФ.</w:t>
      </w:r>
    </w:p>
    <w:p w14:paraId="6472AEF6" w14:textId="77777777" w:rsidR="00C23EEB" w:rsidRPr="007F47C5" w:rsidRDefault="00C23EEB" w:rsidP="00C23EEB">
      <w:pPr>
        <w:spacing w:line="360" w:lineRule="auto"/>
        <w:jc w:val="both"/>
      </w:pPr>
      <w:r w:rsidRPr="007F47C5">
        <w:t>У данных пациентов необходимо применять диализные мембраны другого типа или</w:t>
      </w:r>
      <w:r>
        <w:t xml:space="preserve"> </w:t>
      </w:r>
      <w:r w:rsidRPr="007F47C5">
        <w:t>гипотензивные средства других классов.</w:t>
      </w:r>
    </w:p>
    <w:p w14:paraId="1EAEF035" w14:textId="77777777" w:rsidR="00C23EEB" w:rsidRPr="000666B8" w:rsidRDefault="00C23EEB" w:rsidP="00C23EEB">
      <w:pPr>
        <w:spacing w:line="360" w:lineRule="auto"/>
        <w:jc w:val="both"/>
        <w:rPr>
          <w:i/>
        </w:rPr>
      </w:pPr>
      <w:r w:rsidRPr="000666B8">
        <w:rPr>
          <w:i/>
        </w:rPr>
        <w:t>Кашель</w:t>
      </w:r>
    </w:p>
    <w:p w14:paraId="3841D6C1" w14:textId="77777777" w:rsidR="00C23EEB" w:rsidRDefault="00C23EEB" w:rsidP="00C23EEB">
      <w:pPr>
        <w:spacing w:line="360" w:lineRule="auto"/>
        <w:jc w:val="both"/>
        <w:rPr>
          <w:i/>
        </w:rPr>
      </w:pPr>
      <w:r w:rsidRPr="007F47C5">
        <w:t>Наблюдались случаи возникновения кашля на фоне терапии ингибиторами АПФ. Как правило, кашель носит непродуктивный, постоянный характер и прекращается после отмены терапии. Кашель, связанный, с применением ингибиторов АПФ, должен учитываться при дифференциальной диагностике кашля.</w:t>
      </w:r>
      <w:r w:rsidRPr="000666B8">
        <w:rPr>
          <w:i/>
        </w:rPr>
        <w:t xml:space="preserve"> </w:t>
      </w:r>
    </w:p>
    <w:p w14:paraId="50D8781D" w14:textId="77777777" w:rsidR="00C23EEB" w:rsidRPr="000666B8" w:rsidRDefault="00C23EEB" w:rsidP="00C23EEB">
      <w:pPr>
        <w:spacing w:line="360" w:lineRule="auto"/>
        <w:jc w:val="both"/>
        <w:rPr>
          <w:i/>
        </w:rPr>
      </w:pPr>
      <w:r w:rsidRPr="000666B8">
        <w:rPr>
          <w:i/>
        </w:rPr>
        <w:t>Хирургические вмешательства / общая анестезия</w:t>
      </w:r>
    </w:p>
    <w:p w14:paraId="1B84CDC0" w14:textId="77777777" w:rsidR="00C23EEB" w:rsidRDefault="00C23EEB" w:rsidP="00C23EEB">
      <w:pPr>
        <w:spacing w:line="360" w:lineRule="auto"/>
        <w:jc w:val="both"/>
        <w:rPr>
          <w:i/>
        </w:rPr>
      </w:pPr>
      <w:r w:rsidRPr="007F47C5">
        <w:t>Во время больших хирургических вмешательств или проведения общей анестезии с применением средств, вызывающих антигипертензивный эффект, эналаприлат блокирует образование ангиотензина II, вызываемое компенсаторным высвобождением ренина. Если при этом развивается выраженное снижение АД, объясняемое подобным механизмом, его можно корректировать увеличением объема циркулирующей крови.</w:t>
      </w:r>
      <w:r w:rsidRPr="000666B8">
        <w:rPr>
          <w:i/>
        </w:rPr>
        <w:t xml:space="preserve"> </w:t>
      </w:r>
    </w:p>
    <w:p w14:paraId="50D5F0BA" w14:textId="77777777" w:rsidR="00C23EEB" w:rsidRPr="007F47C5" w:rsidRDefault="00C23EEB" w:rsidP="00C23EEB">
      <w:pPr>
        <w:spacing w:line="360" w:lineRule="auto"/>
        <w:jc w:val="both"/>
      </w:pPr>
      <w:r w:rsidRPr="000666B8">
        <w:rPr>
          <w:i/>
        </w:rPr>
        <w:t xml:space="preserve">Гиперкалиемия (см. раздел «Взаимодействие с другими лекарственными средствами») </w:t>
      </w:r>
      <w:r w:rsidRPr="007F47C5">
        <w:t>Риск развития гиперкалиемии наблюдается при почечной недостаточности, сахарном диабете, а также при одновременном применении калийсберегающих диуретиков (например, спиронолактона, эплеренона, триамтерена или амилорида), калиевых добавок или калийсодержащих солей.</w:t>
      </w:r>
    </w:p>
    <w:p w14:paraId="3A80EF54" w14:textId="77777777" w:rsidR="00C23EEB" w:rsidRDefault="00C23EEB" w:rsidP="00C23EEB">
      <w:pPr>
        <w:spacing w:line="360" w:lineRule="auto"/>
        <w:jc w:val="both"/>
      </w:pPr>
      <w:r w:rsidRPr="007F47C5">
        <w:t xml:space="preserve">Применение калиевых добавок, калийсберегающих диуретиков или калийсодержащих солей, особенно у пациентов с нарушением функции почек, может привести к значительному увеличению содержания калия в сыворотке крови. Гиперкалиемия может приводить к серьезным, иногда смертельным, аритмиям. При необходимости одновременного применения эналаприла и перечисленных выше лекарственных средств следует соблюдать осторожность и регулярно контролировать содержание калия в сыворотке крови. </w:t>
      </w:r>
    </w:p>
    <w:p w14:paraId="7F6A4899" w14:textId="77777777" w:rsidR="00C23EEB" w:rsidRPr="000666B8" w:rsidRDefault="00C23EEB" w:rsidP="00C23EEB">
      <w:pPr>
        <w:spacing w:line="360" w:lineRule="auto"/>
        <w:jc w:val="both"/>
        <w:rPr>
          <w:i/>
        </w:rPr>
      </w:pPr>
      <w:r w:rsidRPr="000666B8">
        <w:rPr>
          <w:i/>
        </w:rPr>
        <w:t>Гипогликемия</w:t>
      </w:r>
    </w:p>
    <w:p w14:paraId="2B7002AE" w14:textId="77777777" w:rsidR="00C23EEB" w:rsidRDefault="00C23EEB" w:rsidP="00C23EEB">
      <w:pPr>
        <w:spacing w:line="360" w:lineRule="auto"/>
        <w:jc w:val="both"/>
        <w:rPr>
          <w:i/>
        </w:rPr>
      </w:pPr>
      <w:r w:rsidRPr="007F47C5">
        <w:t xml:space="preserve">Пациенты с сахарным диабетом, принимающие гипогликемические средства для приема внутрь или инсулин, перед началом применения ингибиторов АПФ должны быть проинформированы о необходимости регулярного контроля концентрации глюкозы в крови (гипогликемии), особенно в течение первого месяца одновременного применения </w:t>
      </w:r>
      <w:r w:rsidRPr="007F47C5">
        <w:lastRenderedPageBreak/>
        <w:t>данных лекарственных средств (см. раздел «Взаимодействие с другими лекарственными средствами»).</w:t>
      </w:r>
      <w:r w:rsidRPr="000666B8">
        <w:rPr>
          <w:i/>
        </w:rPr>
        <w:t xml:space="preserve"> </w:t>
      </w:r>
    </w:p>
    <w:p w14:paraId="032392AC" w14:textId="77777777" w:rsidR="00C23EEB" w:rsidRPr="000666B8" w:rsidRDefault="00C23EEB" w:rsidP="00C23EEB">
      <w:pPr>
        <w:spacing w:line="360" w:lineRule="auto"/>
        <w:jc w:val="both"/>
        <w:rPr>
          <w:i/>
        </w:rPr>
      </w:pPr>
      <w:r w:rsidRPr="000666B8">
        <w:rPr>
          <w:i/>
        </w:rPr>
        <w:t>Препараты лития</w:t>
      </w:r>
    </w:p>
    <w:p w14:paraId="06BE9293" w14:textId="77777777" w:rsidR="00C23EEB" w:rsidRDefault="00C23EEB" w:rsidP="00C23EEB">
      <w:pPr>
        <w:spacing w:line="360" w:lineRule="auto"/>
        <w:jc w:val="both"/>
        <w:rPr>
          <w:i/>
        </w:rPr>
      </w:pPr>
      <w:r w:rsidRPr="007F47C5">
        <w:t>Не рекомендуется одновременное применение препаратов лития и эналаприла (см. раздел «Взаимодействие с другими лекарственными средствами»).</w:t>
      </w:r>
      <w:r w:rsidRPr="000666B8">
        <w:rPr>
          <w:i/>
        </w:rPr>
        <w:t xml:space="preserve"> </w:t>
      </w:r>
    </w:p>
    <w:p w14:paraId="5809CCD2" w14:textId="77777777" w:rsidR="00C23EEB" w:rsidRPr="000666B8" w:rsidRDefault="00C23EEB" w:rsidP="00C23EEB">
      <w:pPr>
        <w:spacing w:line="360" w:lineRule="auto"/>
        <w:jc w:val="both"/>
        <w:rPr>
          <w:i/>
        </w:rPr>
      </w:pPr>
      <w:r w:rsidRPr="000666B8">
        <w:rPr>
          <w:i/>
        </w:rPr>
        <w:t>Двойная блокада ренин-ангиотензин-алъдостероновой системы</w:t>
      </w:r>
    </w:p>
    <w:p w14:paraId="0B0386B3" w14:textId="77777777" w:rsidR="00C23EEB" w:rsidRPr="007F47C5" w:rsidRDefault="00C23EEB" w:rsidP="00C23EEB">
      <w:pPr>
        <w:spacing w:line="360" w:lineRule="auto"/>
        <w:jc w:val="both"/>
      </w:pPr>
      <w:r w:rsidRPr="007F47C5">
        <w:t>Сообщалось о развитии артериальной гипотензии, обморока, инсульта, гиперкалиемии и нарушений функции почек (в том числе острой почечной недостаточности) у восприимчивых пациентов, особенно если применяется комбинированная терапия лекарственными средствами, влияющими на РААС (см. раздел «Взаимодействие с другими лекарственными средствами»).</w:t>
      </w:r>
    </w:p>
    <w:p w14:paraId="2153333B" w14:textId="77777777" w:rsidR="00C23EEB" w:rsidRDefault="00C23EEB" w:rsidP="00C23EEB">
      <w:pPr>
        <w:spacing w:line="360" w:lineRule="auto"/>
        <w:jc w:val="both"/>
      </w:pPr>
      <w:r w:rsidRPr="007F47C5">
        <w:t xml:space="preserve">Одновременное применение ингибиторов АПФ с препаратами, содержащими алискирен, противопоказано у пациентов с сахарным диабетом и/или с умеренной или тяжелой почечной недостаточностью (СКФ менее 60 мл/мин/1,73 м2 площади поверхности тела) и не рекомендуется у других пациентов </w:t>
      </w:r>
      <w:r>
        <w:t>(см. раздел «Противопоказания»).</w:t>
      </w:r>
      <w:r w:rsidRPr="007F47C5">
        <w:t xml:space="preserve"> </w:t>
      </w:r>
    </w:p>
    <w:p w14:paraId="0FE12CBD" w14:textId="77777777" w:rsidR="00C23EEB" w:rsidRDefault="00C23EEB" w:rsidP="00C23EEB">
      <w:pPr>
        <w:spacing w:line="360" w:lineRule="auto"/>
        <w:jc w:val="both"/>
        <w:rPr>
          <w:i/>
        </w:rPr>
      </w:pPr>
      <w:r w:rsidRPr="007F47C5">
        <w:t>Одновременное применение ингибиторов АПФ с антагонистами рецепторов ангиотензина II противопоказано у пациентов с диабетической нефропатией и не рекомендуется у других пациентов (см. раздел «Противопоказания»).</w:t>
      </w:r>
      <w:r w:rsidRPr="000666B8">
        <w:rPr>
          <w:i/>
        </w:rPr>
        <w:t xml:space="preserve"> </w:t>
      </w:r>
    </w:p>
    <w:p w14:paraId="4C7DFB04" w14:textId="77777777" w:rsidR="00C23EEB" w:rsidRPr="000666B8" w:rsidRDefault="00C23EEB" w:rsidP="00C23EEB">
      <w:pPr>
        <w:spacing w:line="360" w:lineRule="auto"/>
        <w:jc w:val="both"/>
        <w:rPr>
          <w:i/>
        </w:rPr>
      </w:pPr>
      <w:r w:rsidRPr="000666B8">
        <w:rPr>
          <w:i/>
        </w:rPr>
        <w:t>Применение у пожилых пациентов</w:t>
      </w:r>
    </w:p>
    <w:p w14:paraId="1813B6AD" w14:textId="77777777" w:rsidR="00C23EEB" w:rsidRPr="007F47C5" w:rsidRDefault="00C23EEB" w:rsidP="00C23EEB">
      <w:pPr>
        <w:spacing w:line="360" w:lineRule="auto"/>
        <w:jc w:val="both"/>
      </w:pPr>
      <w:r w:rsidRPr="007F47C5">
        <w:t>Клинические исследования эффективности и безопасности эналаприла были сходными у</w:t>
      </w:r>
      <w:r>
        <w:t xml:space="preserve"> </w:t>
      </w:r>
      <w:r w:rsidRPr="007F47C5">
        <w:t>пожилых и более молодых пациентов с АГ.</w:t>
      </w:r>
    </w:p>
    <w:p w14:paraId="4753C5BE" w14:textId="77777777" w:rsidR="00C23EEB" w:rsidRPr="000666B8" w:rsidRDefault="00C23EEB" w:rsidP="00C23EEB">
      <w:pPr>
        <w:spacing w:line="360" w:lineRule="auto"/>
        <w:jc w:val="both"/>
        <w:rPr>
          <w:i/>
        </w:rPr>
      </w:pPr>
      <w:r w:rsidRPr="000666B8">
        <w:rPr>
          <w:i/>
        </w:rPr>
        <w:t>Раса</w:t>
      </w:r>
    </w:p>
    <w:p w14:paraId="73D5DB05" w14:textId="77777777" w:rsidR="00C23EEB" w:rsidRPr="007F47C5" w:rsidRDefault="00C23EEB" w:rsidP="00C23EEB">
      <w:pPr>
        <w:spacing w:line="360" w:lineRule="auto"/>
        <w:jc w:val="both"/>
      </w:pPr>
      <w:r w:rsidRPr="007F47C5">
        <w:t>Как и при применении других ингибиторов АПФ, эналаприл, по-видимому, менее эффективно снижает АД у пациентов негроидной расы, чем у пациентов других рас, что может объясняться более высокой распространенностью состояний с низкой активностью ренина плазмы крови в популяции пациентов негроидной расы с АГ. </w:t>
      </w:r>
    </w:p>
    <w:p w14:paraId="6E403637" w14:textId="77777777" w:rsidR="00C23EEB" w:rsidRPr="00A033A2" w:rsidRDefault="00C23EEB" w:rsidP="00C23EEB">
      <w:pPr>
        <w:spacing w:line="360" w:lineRule="auto"/>
        <w:jc w:val="both"/>
        <w:rPr>
          <w:b/>
        </w:rPr>
      </w:pPr>
      <w:r w:rsidRPr="00A033A2">
        <w:rPr>
          <w:b/>
        </w:rPr>
        <w:t>Влияние на способность управлять транспортными средствами</w:t>
      </w:r>
      <w:r>
        <w:rPr>
          <w:b/>
        </w:rPr>
        <w:t xml:space="preserve">, </w:t>
      </w:r>
      <w:r w:rsidRPr="00A033A2">
        <w:rPr>
          <w:b/>
        </w:rPr>
        <w:t>механизмами</w:t>
      </w:r>
    </w:p>
    <w:p w14:paraId="306CCF4C" w14:textId="77777777" w:rsidR="00C23EEB" w:rsidRDefault="00C23EEB" w:rsidP="00C23EEB">
      <w:pPr>
        <w:spacing w:line="360" w:lineRule="auto"/>
        <w:jc w:val="both"/>
      </w:pPr>
      <w:r w:rsidRPr="000666B8">
        <w:t>Влияние эналаприла на способность управлять транспортными средствами и работать с механизмами не изучалось. Однако, некоторые нежелательные явления (например, головокружение), которые наблюдались при приеме эналаприла, могут повлиять на способность управлять транспортными средствами и работать с механизмами (см. раздел «Побочное действие»).</w:t>
      </w:r>
    </w:p>
    <w:p w14:paraId="5506CA35" w14:textId="77777777" w:rsidR="0086780D" w:rsidRDefault="0086780D" w:rsidP="000D37DA">
      <w:pPr>
        <w:spacing w:line="360" w:lineRule="auto"/>
        <w:jc w:val="both"/>
        <w:rPr>
          <w:b/>
        </w:rPr>
      </w:pPr>
    </w:p>
    <w:p w14:paraId="52DEBB8E" w14:textId="17A06CD7" w:rsidR="003C794D" w:rsidRDefault="005219C6" w:rsidP="000D37DA">
      <w:pPr>
        <w:spacing w:line="360" w:lineRule="auto"/>
        <w:jc w:val="both"/>
        <w:rPr>
          <w:b/>
        </w:rPr>
      </w:pPr>
      <w:r w:rsidRPr="00A033A2">
        <w:rPr>
          <w:b/>
        </w:rPr>
        <w:lastRenderedPageBreak/>
        <w:t>Форма выпуска</w:t>
      </w:r>
    </w:p>
    <w:p w14:paraId="45CE0AA8" w14:textId="0AF3686D" w:rsidR="003C794D" w:rsidRDefault="003C794D" w:rsidP="002133A8">
      <w:pPr>
        <w:spacing w:line="360" w:lineRule="auto"/>
        <w:jc w:val="both"/>
      </w:pPr>
      <w:r>
        <w:t>Таблетки</w:t>
      </w:r>
      <w:r w:rsidR="00DC104E">
        <w:t>,</w:t>
      </w:r>
      <w:r>
        <w:t xml:space="preserve"> </w:t>
      </w:r>
      <w:r w:rsidR="00FF7288">
        <w:t xml:space="preserve">5 мг и </w:t>
      </w:r>
      <w:r w:rsidR="00B21A91" w:rsidRPr="00955C7A">
        <w:t>2</w:t>
      </w:r>
      <w:r w:rsidR="00FF7288">
        <w:t>0</w:t>
      </w:r>
      <w:r>
        <w:t xml:space="preserve"> мг</w:t>
      </w:r>
      <w:r w:rsidR="00A033A2">
        <w:t>.</w:t>
      </w:r>
    </w:p>
    <w:p w14:paraId="07AAB34F" w14:textId="77777777" w:rsidR="00CF093D" w:rsidRDefault="00CF093D" w:rsidP="00CF093D">
      <w:pPr>
        <w:spacing w:line="360" w:lineRule="auto"/>
        <w:jc w:val="both"/>
      </w:pPr>
      <w:r>
        <w:t xml:space="preserve">По 10 таблеток в контурную ячейковую упаковку из пленки поливинилхлоридной и фольги алюминиевой печатной лакированной. </w:t>
      </w:r>
    </w:p>
    <w:p w14:paraId="2FAFDCA2" w14:textId="77777777" w:rsidR="00CF093D" w:rsidRDefault="00CF093D" w:rsidP="00CF093D">
      <w:pPr>
        <w:spacing w:line="360" w:lineRule="auto"/>
        <w:jc w:val="both"/>
      </w:pPr>
      <w:r>
        <w:t>1, 2, 3 или 5 контурных ячейковых упаковок по 10 таблеток вместе с инструкцией по применению помещают в пачку из картона.</w:t>
      </w:r>
    </w:p>
    <w:p w14:paraId="0C7BA13B" w14:textId="08AFFFE2" w:rsidR="003C794D" w:rsidRPr="00A033A2" w:rsidRDefault="005219C6" w:rsidP="00CF093D">
      <w:pPr>
        <w:spacing w:line="360" w:lineRule="auto"/>
        <w:jc w:val="both"/>
        <w:rPr>
          <w:b/>
        </w:rPr>
      </w:pPr>
      <w:r w:rsidRPr="00A033A2">
        <w:rPr>
          <w:b/>
        </w:rPr>
        <w:t>Срок годности</w:t>
      </w:r>
    </w:p>
    <w:p w14:paraId="7DE511DF" w14:textId="03930AEF" w:rsidR="003C794D" w:rsidRPr="00A033A2" w:rsidRDefault="008E642A" w:rsidP="002133A8">
      <w:pPr>
        <w:spacing w:line="360" w:lineRule="auto"/>
        <w:jc w:val="both"/>
      </w:pPr>
      <w:r>
        <w:t>2</w:t>
      </w:r>
      <w:r w:rsidR="003C794D" w:rsidRPr="00A033A2">
        <w:t xml:space="preserve"> года.</w:t>
      </w:r>
    </w:p>
    <w:p w14:paraId="57EB961D" w14:textId="64E0F2AE" w:rsidR="003C794D" w:rsidRPr="00A033A2" w:rsidRDefault="003C794D" w:rsidP="002133A8">
      <w:pPr>
        <w:spacing w:line="360" w:lineRule="auto"/>
        <w:jc w:val="both"/>
      </w:pPr>
      <w:r w:rsidRPr="00A033A2">
        <w:t>Не использовать по истечении срока годности</w:t>
      </w:r>
      <w:r w:rsidR="00A033A2">
        <w:t>.</w:t>
      </w:r>
    </w:p>
    <w:p w14:paraId="03EACB5A" w14:textId="23F6CCCF" w:rsidR="003C794D" w:rsidRPr="00A033A2" w:rsidRDefault="005219C6" w:rsidP="002133A8">
      <w:pPr>
        <w:spacing w:line="360" w:lineRule="auto"/>
        <w:jc w:val="both"/>
        <w:rPr>
          <w:b/>
        </w:rPr>
      </w:pPr>
      <w:r w:rsidRPr="00A033A2">
        <w:rPr>
          <w:b/>
        </w:rPr>
        <w:t>Условия хранения</w:t>
      </w:r>
    </w:p>
    <w:p w14:paraId="793A3565" w14:textId="48C97778" w:rsidR="00747118" w:rsidRDefault="00FF7288" w:rsidP="0086780D">
      <w:pPr>
        <w:spacing w:line="360" w:lineRule="auto"/>
        <w:jc w:val="both"/>
        <w:rPr>
          <w:iCs/>
        </w:rPr>
      </w:pPr>
      <w:r>
        <w:t>В защищенном от света месте</w:t>
      </w:r>
      <w:r w:rsidR="00747118">
        <w:t xml:space="preserve"> п</w:t>
      </w:r>
      <w:r w:rsidR="00747118" w:rsidRPr="00A0757A">
        <w:t>ри температуре не выше 25 °C</w:t>
      </w:r>
      <w:r w:rsidR="00747118">
        <w:rPr>
          <w:iCs/>
        </w:rPr>
        <w:t>.</w:t>
      </w:r>
    </w:p>
    <w:p w14:paraId="0BB6FA51" w14:textId="491F68B0" w:rsidR="00895895" w:rsidRPr="00C139CD" w:rsidRDefault="00895895" w:rsidP="0086780D">
      <w:pPr>
        <w:spacing w:line="360" w:lineRule="auto"/>
        <w:jc w:val="both"/>
        <w:rPr>
          <w:iCs/>
        </w:rPr>
      </w:pPr>
      <w:r w:rsidRPr="00C139CD">
        <w:rPr>
          <w:iCs/>
        </w:rPr>
        <w:t>Хранить в недоступном для детей месте.</w:t>
      </w:r>
    </w:p>
    <w:p w14:paraId="37F4D0E3" w14:textId="7CC2D7F2" w:rsidR="003C794D" w:rsidRPr="00A033A2" w:rsidRDefault="00AE2118" w:rsidP="0086780D">
      <w:pPr>
        <w:spacing w:line="360" w:lineRule="auto"/>
        <w:jc w:val="both"/>
        <w:rPr>
          <w:b/>
          <w:iCs/>
        </w:rPr>
      </w:pPr>
      <w:r w:rsidRPr="00A033A2">
        <w:rPr>
          <w:b/>
          <w:iCs/>
        </w:rPr>
        <w:t xml:space="preserve">Условия отпуска </w:t>
      </w:r>
    </w:p>
    <w:p w14:paraId="19A6FEB4" w14:textId="6180EE3D" w:rsidR="00766ED8" w:rsidRPr="00A033A2" w:rsidRDefault="004A5065" w:rsidP="0086780D">
      <w:pPr>
        <w:spacing w:line="360" w:lineRule="auto"/>
        <w:jc w:val="both"/>
        <w:rPr>
          <w:iCs/>
        </w:rPr>
      </w:pPr>
      <w:r>
        <w:rPr>
          <w:iCs/>
        </w:rPr>
        <w:t>Отпускают по рецепту</w:t>
      </w:r>
      <w:r w:rsidR="003C794D" w:rsidRPr="00A033A2">
        <w:rPr>
          <w:iCs/>
        </w:rPr>
        <w:t>.</w:t>
      </w:r>
    </w:p>
    <w:p w14:paraId="768A6ACB" w14:textId="77777777" w:rsidR="00955C7A" w:rsidRDefault="00955C7A" w:rsidP="0086780D">
      <w:pPr>
        <w:spacing w:line="360" w:lineRule="auto"/>
        <w:jc w:val="both"/>
      </w:pPr>
      <w:r>
        <w:rPr>
          <w:b/>
        </w:rPr>
        <w:t>Производитель, Держатель РУ, Выпускающий контроль качества / Организация, принимающая претензии от потребителя</w:t>
      </w:r>
    </w:p>
    <w:p w14:paraId="372FF78A" w14:textId="77777777" w:rsidR="00955C7A" w:rsidRPr="00C824C3" w:rsidRDefault="00955C7A" w:rsidP="0086780D">
      <w:pPr>
        <w:spacing w:line="360" w:lineRule="auto"/>
        <w:jc w:val="both"/>
        <w:rPr>
          <w:iCs/>
        </w:rPr>
      </w:pPr>
      <w:r w:rsidRPr="00C824C3">
        <w:rPr>
          <w:iCs/>
        </w:rPr>
        <w:t xml:space="preserve">АО «Усолье-Сибирский химфармзавод», </w:t>
      </w:r>
    </w:p>
    <w:p w14:paraId="77A7998A" w14:textId="02876B49" w:rsidR="00955C7A" w:rsidRPr="00395027" w:rsidRDefault="00955C7A" w:rsidP="0086780D">
      <w:pPr>
        <w:spacing w:line="360" w:lineRule="auto"/>
        <w:jc w:val="both"/>
        <w:rPr>
          <w:iCs/>
        </w:rPr>
      </w:pPr>
      <w:r w:rsidRPr="00395027">
        <w:rPr>
          <w:iCs/>
        </w:rPr>
        <w:t>665452, Иркутская обл., г.о. город Усолье-Сибирское, тер. Промышленный массив, ул.</w:t>
      </w:r>
      <w:r w:rsidR="0086780D">
        <w:rPr>
          <w:iCs/>
        </w:rPr>
        <w:t xml:space="preserve"> </w:t>
      </w:r>
      <w:r w:rsidRPr="00395027">
        <w:rPr>
          <w:iCs/>
        </w:rPr>
        <w:t>Индустриальная, зд. 62.</w:t>
      </w:r>
    </w:p>
    <w:p w14:paraId="73BA3D30" w14:textId="77777777" w:rsidR="00955C7A" w:rsidRPr="00970683" w:rsidRDefault="00955C7A" w:rsidP="0086780D">
      <w:pPr>
        <w:spacing w:line="360" w:lineRule="auto"/>
        <w:jc w:val="both"/>
      </w:pPr>
      <w:r>
        <w:rPr>
          <w:iCs/>
        </w:rPr>
        <w:t>Тел.</w:t>
      </w:r>
      <w:r w:rsidRPr="00395027">
        <w:rPr>
          <w:iCs/>
        </w:rPr>
        <w:t>: +7 (395) 435-89-08.</w:t>
      </w:r>
    </w:p>
    <w:p w14:paraId="54425A93" w14:textId="77777777" w:rsidR="0050387A" w:rsidRPr="002133A8" w:rsidRDefault="0050387A" w:rsidP="002133A8">
      <w:pPr>
        <w:keepNext/>
        <w:spacing w:line="360" w:lineRule="auto"/>
        <w:jc w:val="both"/>
        <w:outlineLvl w:val="0"/>
        <w:rPr>
          <w:b/>
        </w:rPr>
      </w:pPr>
      <w:bookmarkStart w:id="0" w:name="_GoBack"/>
      <w:bookmarkEnd w:id="0"/>
    </w:p>
    <w:p w14:paraId="109992A5" w14:textId="77777777" w:rsidR="0050387A" w:rsidRPr="002133A8" w:rsidRDefault="0050387A" w:rsidP="002133A8">
      <w:pPr>
        <w:keepNext/>
        <w:spacing w:line="360" w:lineRule="auto"/>
        <w:jc w:val="both"/>
        <w:outlineLvl w:val="0"/>
        <w:rPr>
          <w:b/>
        </w:rPr>
      </w:pPr>
    </w:p>
    <w:p w14:paraId="6E9B843A" w14:textId="77777777" w:rsidR="002D201A" w:rsidRPr="00A033A2" w:rsidRDefault="002D201A" w:rsidP="002133A8">
      <w:pPr>
        <w:tabs>
          <w:tab w:val="left" w:pos="4820"/>
        </w:tabs>
        <w:jc w:val="both"/>
      </w:pPr>
      <w:r w:rsidRPr="00A033A2">
        <w:t>Генеральный директор</w:t>
      </w:r>
    </w:p>
    <w:p w14:paraId="5F2C9F6D" w14:textId="77777777" w:rsidR="002D201A" w:rsidRPr="002D201A" w:rsidRDefault="002D201A" w:rsidP="002133A8">
      <w:pPr>
        <w:tabs>
          <w:tab w:val="left" w:pos="4820"/>
        </w:tabs>
        <w:jc w:val="both"/>
      </w:pPr>
      <w:r w:rsidRPr="00A033A2">
        <w:t xml:space="preserve">АО «Усолье-Сибирский химфармзавод» </w:t>
      </w:r>
      <w:r w:rsidRPr="00A033A2">
        <w:tab/>
      </w:r>
      <w:r w:rsidRPr="00A033A2">
        <w:tab/>
      </w:r>
      <w:r w:rsidRPr="00A033A2">
        <w:tab/>
      </w:r>
      <w:r w:rsidRPr="00A033A2">
        <w:tab/>
        <w:t>Тюстин С.В.</w:t>
      </w:r>
    </w:p>
    <w:p w14:paraId="4DED0A43" w14:textId="77777777" w:rsidR="0050387A" w:rsidRPr="00634D09" w:rsidRDefault="0050387A" w:rsidP="00CE445E">
      <w:pPr>
        <w:spacing w:line="360" w:lineRule="auto"/>
      </w:pPr>
    </w:p>
    <w:sectPr w:rsidR="0050387A" w:rsidRPr="00634D09" w:rsidSect="007B2826">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99422" w14:textId="77777777" w:rsidR="00DE35C8" w:rsidRDefault="00DE35C8" w:rsidP="00A5172A">
      <w:r>
        <w:separator/>
      </w:r>
    </w:p>
  </w:endnote>
  <w:endnote w:type="continuationSeparator" w:id="0">
    <w:p w14:paraId="2CA767B7" w14:textId="77777777" w:rsidR="00DE35C8" w:rsidRDefault="00DE35C8" w:rsidP="00A51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226862"/>
      <w:docPartObj>
        <w:docPartGallery w:val="Page Numbers (Bottom of Page)"/>
        <w:docPartUnique/>
      </w:docPartObj>
    </w:sdtPr>
    <w:sdtEndPr/>
    <w:sdtContent>
      <w:p w14:paraId="061A2CCB" w14:textId="559CB277" w:rsidR="00A5172A" w:rsidRDefault="00A5172A">
        <w:pPr>
          <w:pStyle w:val="a8"/>
          <w:jc w:val="center"/>
        </w:pPr>
        <w:r>
          <w:fldChar w:fldCharType="begin"/>
        </w:r>
        <w:r>
          <w:instrText>PAGE   \* MERGEFORMAT</w:instrText>
        </w:r>
        <w:r>
          <w:fldChar w:fldCharType="separate"/>
        </w:r>
        <w:r w:rsidR="0086780D">
          <w:rPr>
            <w:noProof/>
          </w:rPr>
          <w:t>23</w:t>
        </w:r>
        <w:r>
          <w:fldChar w:fldCharType="end"/>
        </w:r>
      </w:p>
    </w:sdtContent>
  </w:sdt>
  <w:p w14:paraId="35351AEC" w14:textId="77777777" w:rsidR="00A5172A" w:rsidRDefault="00A5172A">
    <w:pPr>
      <w:pStyle w:val="a8"/>
    </w:pPr>
  </w:p>
  <w:p w14:paraId="0F6A4055" w14:textId="77777777" w:rsidR="00B3284A" w:rsidRDefault="00B3284A"/>
  <w:p w14:paraId="796B2A29" w14:textId="77777777" w:rsidR="00B3284A" w:rsidRDefault="00B3284A"/>
  <w:p w14:paraId="6C249B60" w14:textId="77777777" w:rsidR="00B3284A" w:rsidRDefault="00B328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4DCD3" w14:textId="77777777" w:rsidR="00DE35C8" w:rsidRDefault="00DE35C8" w:rsidP="00A5172A">
      <w:r>
        <w:separator/>
      </w:r>
    </w:p>
  </w:footnote>
  <w:footnote w:type="continuationSeparator" w:id="0">
    <w:p w14:paraId="3A43597B" w14:textId="77777777" w:rsidR="00DE35C8" w:rsidRDefault="00DE35C8" w:rsidP="00A51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60B31"/>
    <w:multiLevelType w:val="hybridMultilevel"/>
    <w:tmpl w:val="2D5EC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D1246C1"/>
    <w:multiLevelType w:val="hybridMultilevel"/>
    <w:tmpl w:val="385EF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84681A"/>
    <w:multiLevelType w:val="hybridMultilevel"/>
    <w:tmpl w:val="5AEEB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5E5CAF"/>
    <w:multiLevelType w:val="hybridMultilevel"/>
    <w:tmpl w:val="BE8C9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3C3C70"/>
    <w:multiLevelType w:val="hybridMultilevel"/>
    <w:tmpl w:val="9F446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5B63622"/>
    <w:multiLevelType w:val="hybridMultilevel"/>
    <w:tmpl w:val="E6FAB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8A772FC"/>
    <w:multiLevelType w:val="hybridMultilevel"/>
    <w:tmpl w:val="F66E9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8DF"/>
    <w:rsid w:val="00011971"/>
    <w:rsid w:val="00026A91"/>
    <w:rsid w:val="00046F68"/>
    <w:rsid w:val="000666B8"/>
    <w:rsid w:val="00070D41"/>
    <w:rsid w:val="00077371"/>
    <w:rsid w:val="00096568"/>
    <w:rsid w:val="000C0567"/>
    <w:rsid w:val="000D37DA"/>
    <w:rsid w:val="000E1006"/>
    <w:rsid w:val="001561B2"/>
    <w:rsid w:val="00166E80"/>
    <w:rsid w:val="00195732"/>
    <w:rsid w:val="001B79D3"/>
    <w:rsid w:val="001D6419"/>
    <w:rsid w:val="001E08AB"/>
    <w:rsid w:val="002133A8"/>
    <w:rsid w:val="00224F36"/>
    <w:rsid w:val="00266131"/>
    <w:rsid w:val="00284D1D"/>
    <w:rsid w:val="0029440B"/>
    <w:rsid w:val="002D201A"/>
    <w:rsid w:val="002D4B31"/>
    <w:rsid w:val="0031351D"/>
    <w:rsid w:val="003944E6"/>
    <w:rsid w:val="003C794D"/>
    <w:rsid w:val="003E0500"/>
    <w:rsid w:val="00445F0D"/>
    <w:rsid w:val="00465EAD"/>
    <w:rsid w:val="0047373B"/>
    <w:rsid w:val="00483FC2"/>
    <w:rsid w:val="004A5065"/>
    <w:rsid w:val="004B07FB"/>
    <w:rsid w:val="004B3B03"/>
    <w:rsid w:val="004B3D6F"/>
    <w:rsid w:val="004D056F"/>
    <w:rsid w:val="004E2F4C"/>
    <w:rsid w:val="0050387A"/>
    <w:rsid w:val="005219C6"/>
    <w:rsid w:val="00522379"/>
    <w:rsid w:val="005730CA"/>
    <w:rsid w:val="005829F0"/>
    <w:rsid w:val="00587829"/>
    <w:rsid w:val="006136D3"/>
    <w:rsid w:val="00633D3C"/>
    <w:rsid w:val="00634D09"/>
    <w:rsid w:val="0064054E"/>
    <w:rsid w:val="0065094B"/>
    <w:rsid w:val="006861C1"/>
    <w:rsid w:val="00692438"/>
    <w:rsid w:val="006A432E"/>
    <w:rsid w:val="006E4DA2"/>
    <w:rsid w:val="006F44C5"/>
    <w:rsid w:val="00730F6D"/>
    <w:rsid w:val="00747118"/>
    <w:rsid w:val="007603F7"/>
    <w:rsid w:val="00766ED8"/>
    <w:rsid w:val="007B2826"/>
    <w:rsid w:val="007E28DF"/>
    <w:rsid w:val="007E6B79"/>
    <w:rsid w:val="007F47C5"/>
    <w:rsid w:val="00830D58"/>
    <w:rsid w:val="0086780D"/>
    <w:rsid w:val="00895895"/>
    <w:rsid w:val="008A6F4F"/>
    <w:rsid w:val="008A78C3"/>
    <w:rsid w:val="008E642A"/>
    <w:rsid w:val="008E6B02"/>
    <w:rsid w:val="00911D0E"/>
    <w:rsid w:val="00915E8F"/>
    <w:rsid w:val="00955C7A"/>
    <w:rsid w:val="00970B7B"/>
    <w:rsid w:val="00971A37"/>
    <w:rsid w:val="00984B5A"/>
    <w:rsid w:val="009A29E0"/>
    <w:rsid w:val="009C078B"/>
    <w:rsid w:val="009D7352"/>
    <w:rsid w:val="009E5BD0"/>
    <w:rsid w:val="00A033A2"/>
    <w:rsid w:val="00A04DCF"/>
    <w:rsid w:val="00A5172A"/>
    <w:rsid w:val="00A55499"/>
    <w:rsid w:val="00A63C2C"/>
    <w:rsid w:val="00A87C6B"/>
    <w:rsid w:val="00AA21C5"/>
    <w:rsid w:val="00AB5542"/>
    <w:rsid w:val="00AD2E67"/>
    <w:rsid w:val="00AE2118"/>
    <w:rsid w:val="00AF4207"/>
    <w:rsid w:val="00B05043"/>
    <w:rsid w:val="00B059AB"/>
    <w:rsid w:val="00B174D1"/>
    <w:rsid w:val="00B21A91"/>
    <w:rsid w:val="00B3284A"/>
    <w:rsid w:val="00B43812"/>
    <w:rsid w:val="00B539BF"/>
    <w:rsid w:val="00BC28B3"/>
    <w:rsid w:val="00BD0210"/>
    <w:rsid w:val="00BF7ACE"/>
    <w:rsid w:val="00C139CD"/>
    <w:rsid w:val="00C13EC2"/>
    <w:rsid w:val="00C23EEB"/>
    <w:rsid w:val="00C8456D"/>
    <w:rsid w:val="00C954BB"/>
    <w:rsid w:val="00C9604A"/>
    <w:rsid w:val="00CA51CB"/>
    <w:rsid w:val="00CB5D01"/>
    <w:rsid w:val="00CC1A88"/>
    <w:rsid w:val="00CC1AAB"/>
    <w:rsid w:val="00CE1DA7"/>
    <w:rsid w:val="00CE445E"/>
    <w:rsid w:val="00CF093D"/>
    <w:rsid w:val="00D36BD5"/>
    <w:rsid w:val="00D54E6A"/>
    <w:rsid w:val="00D93FD9"/>
    <w:rsid w:val="00DB4F50"/>
    <w:rsid w:val="00DC104E"/>
    <w:rsid w:val="00DE35C8"/>
    <w:rsid w:val="00DF0944"/>
    <w:rsid w:val="00DF3E41"/>
    <w:rsid w:val="00E109AD"/>
    <w:rsid w:val="00E21DE2"/>
    <w:rsid w:val="00E3353B"/>
    <w:rsid w:val="00E34457"/>
    <w:rsid w:val="00E4680A"/>
    <w:rsid w:val="00E91C0F"/>
    <w:rsid w:val="00E97811"/>
    <w:rsid w:val="00EA5378"/>
    <w:rsid w:val="00F2538B"/>
    <w:rsid w:val="00F336F3"/>
    <w:rsid w:val="00F33C35"/>
    <w:rsid w:val="00F375EA"/>
    <w:rsid w:val="00F53942"/>
    <w:rsid w:val="00F66A42"/>
    <w:rsid w:val="00FD3D41"/>
    <w:rsid w:val="00FD648B"/>
    <w:rsid w:val="00FF0605"/>
    <w:rsid w:val="00FF2B89"/>
    <w:rsid w:val="00FF7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F938"/>
  <w15:docId w15:val="{0B619AFC-9CA8-4C89-A9FC-76EA758E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28D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D201A"/>
    <w:pPr>
      <w:keepNext/>
      <w:tabs>
        <w:tab w:val="left" w:pos="4820"/>
      </w:tabs>
      <w:suppressAutoHyphens/>
      <w:jc w:val="center"/>
      <w:textAlignment w:val="baseline"/>
      <w:outlineLvl w:val="0"/>
    </w:pPr>
    <w:rPr>
      <w:bCs/>
      <w:color w:val="00000A"/>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Основной текст (3)"/>
    <w:basedOn w:val="a"/>
    <w:rsid w:val="0050387A"/>
    <w:pPr>
      <w:spacing w:line="360" w:lineRule="auto"/>
      <w:jc w:val="both"/>
    </w:pPr>
    <w:rPr>
      <w:color w:val="000000"/>
    </w:rPr>
  </w:style>
  <w:style w:type="paragraph" w:customStyle="1" w:styleId="Default">
    <w:name w:val="Default"/>
    <w:rsid w:val="0050387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3">
    <w:name w:val="Table Grid"/>
    <w:basedOn w:val="a1"/>
    <w:uiPriority w:val="59"/>
    <w:rsid w:val="00DB4F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DB4F50"/>
    <w:pPr>
      <w:tabs>
        <w:tab w:val="center" w:pos="4153"/>
        <w:tab w:val="right" w:pos="8306"/>
      </w:tabs>
    </w:pPr>
    <w:rPr>
      <w:sz w:val="20"/>
      <w:szCs w:val="20"/>
    </w:rPr>
  </w:style>
  <w:style w:type="character" w:customStyle="1" w:styleId="a5">
    <w:name w:val="Верхний колонтитул Знак"/>
    <w:basedOn w:val="a0"/>
    <w:link w:val="a4"/>
    <w:uiPriority w:val="99"/>
    <w:rsid w:val="00DB4F50"/>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2D201A"/>
    <w:rPr>
      <w:rFonts w:ascii="Times New Roman" w:eastAsia="Times New Roman" w:hAnsi="Times New Roman" w:cs="Times New Roman"/>
      <w:bCs/>
      <w:color w:val="00000A"/>
      <w:sz w:val="28"/>
      <w:szCs w:val="20"/>
      <w:lang w:eastAsia="ru-RU"/>
    </w:rPr>
  </w:style>
  <w:style w:type="paragraph" w:styleId="a6">
    <w:name w:val="Balloon Text"/>
    <w:basedOn w:val="a"/>
    <w:link w:val="a7"/>
    <w:uiPriority w:val="99"/>
    <w:semiHidden/>
    <w:unhideWhenUsed/>
    <w:rsid w:val="00DF3E41"/>
    <w:rPr>
      <w:rFonts w:ascii="Segoe UI" w:hAnsi="Segoe UI" w:cs="Segoe UI"/>
      <w:sz w:val="18"/>
      <w:szCs w:val="18"/>
    </w:rPr>
  </w:style>
  <w:style w:type="character" w:customStyle="1" w:styleId="a7">
    <w:name w:val="Текст выноски Знак"/>
    <w:basedOn w:val="a0"/>
    <w:link w:val="a6"/>
    <w:uiPriority w:val="99"/>
    <w:semiHidden/>
    <w:rsid w:val="00DF3E41"/>
    <w:rPr>
      <w:rFonts w:ascii="Segoe UI" w:eastAsia="Times New Roman" w:hAnsi="Segoe UI" w:cs="Segoe UI"/>
      <w:sz w:val="18"/>
      <w:szCs w:val="18"/>
      <w:lang w:eastAsia="ru-RU"/>
    </w:rPr>
  </w:style>
  <w:style w:type="paragraph" w:styleId="a8">
    <w:name w:val="footer"/>
    <w:basedOn w:val="a"/>
    <w:link w:val="a9"/>
    <w:uiPriority w:val="99"/>
    <w:unhideWhenUsed/>
    <w:rsid w:val="00A5172A"/>
    <w:pPr>
      <w:tabs>
        <w:tab w:val="center" w:pos="4677"/>
        <w:tab w:val="right" w:pos="9355"/>
      </w:tabs>
    </w:pPr>
  </w:style>
  <w:style w:type="character" w:customStyle="1" w:styleId="a9">
    <w:name w:val="Нижний колонтитул Знак"/>
    <w:basedOn w:val="a0"/>
    <w:link w:val="a8"/>
    <w:uiPriority w:val="99"/>
    <w:rsid w:val="00A5172A"/>
    <w:rPr>
      <w:rFonts w:ascii="Times New Roman" w:eastAsia="Times New Roman" w:hAnsi="Times New Roman" w:cs="Times New Roman"/>
      <w:sz w:val="24"/>
      <w:szCs w:val="24"/>
      <w:lang w:eastAsia="ru-RU"/>
    </w:rPr>
  </w:style>
  <w:style w:type="character" w:styleId="aa">
    <w:name w:val="annotation reference"/>
    <w:basedOn w:val="a0"/>
    <w:uiPriority w:val="99"/>
    <w:semiHidden/>
    <w:unhideWhenUsed/>
    <w:rsid w:val="00766ED8"/>
    <w:rPr>
      <w:sz w:val="16"/>
      <w:szCs w:val="16"/>
    </w:rPr>
  </w:style>
  <w:style w:type="paragraph" w:styleId="ab">
    <w:name w:val="annotation text"/>
    <w:basedOn w:val="a"/>
    <w:link w:val="ac"/>
    <w:uiPriority w:val="99"/>
    <w:semiHidden/>
    <w:unhideWhenUsed/>
    <w:rsid w:val="00766ED8"/>
    <w:rPr>
      <w:sz w:val="20"/>
      <w:szCs w:val="20"/>
    </w:rPr>
  </w:style>
  <w:style w:type="character" w:customStyle="1" w:styleId="ac">
    <w:name w:val="Текст примечания Знак"/>
    <w:basedOn w:val="a0"/>
    <w:link w:val="ab"/>
    <w:uiPriority w:val="99"/>
    <w:semiHidden/>
    <w:rsid w:val="00766ED8"/>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766ED8"/>
    <w:rPr>
      <w:b/>
      <w:bCs/>
    </w:rPr>
  </w:style>
  <w:style w:type="character" w:customStyle="1" w:styleId="ae">
    <w:name w:val="Тема примечания Знак"/>
    <w:basedOn w:val="ac"/>
    <w:link w:val="ad"/>
    <w:uiPriority w:val="99"/>
    <w:semiHidden/>
    <w:rsid w:val="00766ED8"/>
    <w:rPr>
      <w:rFonts w:ascii="Times New Roman" w:eastAsia="Times New Roman" w:hAnsi="Times New Roman" w:cs="Times New Roman"/>
      <w:b/>
      <w:bCs/>
      <w:sz w:val="20"/>
      <w:szCs w:val="20"/>
      <w:lang w:eastAsia="ru-RU"/>
    </w:rPr>
  </w:style>
  <w:style w:type="paragraph" w:styleId="af">
    <w:name w:val="List Paragraph"/>
    <w:basedOn w:val="a"/>
    <w:uiPriority w:val="34"/>
    <w:qFormat/>
    <w:rsid w:val="008A78C3"/>
    <w:pPr>
      <w:ind w:left="720"/>
      <w:contextualSpacing/>
    </w:pPr>
  </w:style>
  <w:style w:type="character" w:customStyle="1" w:styleId="af0">
    <w:name w:val="Основной текст_"/>
    <w:basedOn w:val="a0"/>
    <w:link w:val="2"/>
    <w:rsid w:val="00E91C0F"/>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f0"/>
    <w:rsid w:val="00E91C0F"/>
    <w:pPr>
      <w:shd w:val="clear" w:color="auto" w:fill="FFFFFF"/>
      <w:spacing w:line="0" w:lineRule="atLeast"/>
    </w:pPr>
    <w:rPr>
      <w:sz w:val="23"/>
      <w:szCs w:val="23"/>
      <w:lang w:eastAsia="en-US"/>
    </w:rPr>
  </w:style>
  <w:style w:type="character" w:customStyle="1" w:styleId="20">
    <w:name w:val="Основной текст (2)_"/>
    <w:basedOn w:val="a0"/>
    <w:link w:val="21"/>
    <w:rsid w:val="000666B8"/>
    <w:rPr>
      <w:rFonts w:ascii="Times New Roman" w:eastAsia="Times New Roman" w:hAnsi="Times New Roman" w:cs="Times New Roman"/>
      <w:sz w:val="23"/>
      <w:szCs w:val="23"/>
      <w:shd w:val="clear" w:color="auto" w:fill="FFFFFF"/>
    </w:rPr>
  </w:style>
  <w:style w:type="paragraph" w:customStyle="1" w:styleId="11">
    <w:name w:val="Основной текст1"/>
    <w:basedOn w:val="a"/>
    <w:rsid w:val="000666B8"/>
    <w:pPr>
      <w:shd w:val="clear" w:color="auto" w:fill="FFFFFF"/>
      <w:spacing w:before="60" w:after="600" w:line="0" w:lineRule="atLeast"/>
      <w:ind w:hanging="700"/>
    </w:pPr>
    <w:rPr>
      <w:color w:val="000000"/>
      <w:sz w:val="23"/>
      <w:szCs w:val="23"/>
      <w:lang w:val="ru"/>
    </w:rPr>
  </w:style>
  <w:style w:type="paragraph" w:customStyle="1" w:styleId="21">
    <w:name w:val="Основной текст (2)"/>
    <w:basedOn w:val="a"/>
    <w:link w:val="20"/>
    <w:rsid w:val="000666B8"/>
    <w:pPr>
      <w:shd w:val="clear" w:color="auto" w:fill="FFFFFF"/>
      <w:spacing w:before="180" w:after="480" w:line="0" w:lineRule="atLeast"/>
      <w:jc w:val="both"/>
    </w:pPr>
    <w:rPr>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762394">
      <w:bodyDiv w:val="1"/>
      <w:marLeft w:val="0"/>
      <w:marRight w:val="0"/>
      <w:marTop w:val="0"/>
      <w:marBottom w:val="0"/>
      <w:divBdr>
        <w:top w:val="none" w:sz="0" w:space="0" w:color="auto"/>
        <w:left w:val="none" w:sz="0" w:space="0" w:color="auto"/>
        <w:bottom w:val="none" w:sz="0" w:space="0" w:color="auto"/>
        <w:right w:val="none" w:sz="0" w:space="0" w:color="auto"/>
      </w:divBdr>
    </w:div>
    <w:div w:id="960189156">
      <w:bodyDiv w:val="1"/>
      <w:marLeft w:val="0"/>
      <w:marRight w:val="0"/>
      <w:marTop w:val="0"/>
      <w:marBottom w:val="0"/>
      <w:divBdr>
        <w:top w:val="none" w:sz="0" w:space="0" w:color="auto"/>
        <w:left w:val="none" w:sz="0" w:space="0" w:color="auto"/>
        <w:bottom w:val="none" w:sz="0" w:space="0" w:color="auto"/>
        <w:right w:val="none" w:sz="0" w:space="0" w:color="auto"/>
      </w:divBdr>
    </w:div>
    <w:div w:id="118405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379EC-82F0-421C-AE47-A33CD8AB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23</Pages>
  <Words>7048</Words>
  <Characters>40180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Лаврухин</dc:creator>
  <cp:keywords/>
  <dc:description/>
  <cp:lastModifiedBy>bazaeva</cp:lastModifiedBy>
  <cp:revision>16</cp:revision>
  <cp:lastPrinted>2020-08-06T08:23:00Z</cp:lastPrinted>
  <dcterms:created xsi:type="dcterms:W3CDTF">2023-12-25T13:06:00Z</dcterms:created>
  <dcterms:modified xsi:type="dcterms:W3CDTF">2026-07-14T07:29:00Z</dcterms:modified>
</cp:coreProperties>
</file>