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2517" w14:textId="77777777" w:rsidR="0004635F" w:rsidRPr="00A77E51" w:rsidRDefault="00485D43" w:rsidP="00A77E51">
      <w:pPr>
        <w:jc w:val="center"/>
      </w:pPr>
      <w:r w:rsidRPr="00A77E51">
        <w:t xml:space="preserve">МИНИСТЕРСТВО ЗДРАВООХРАНЕНИЯ </w:t>
      </w:r>
      <w:r w:rsidR="00436C58" w:rsidRPr="00A77E51">
        <w:t>Р</w:t>
      </w:r>
      <w:r w:rsidR="00B24CE8" w:rsidRPr="00A77E51">
        <w:t>ОССИЙСКОЙ ФЕДЕРАЦИИ</w:t>
      </w:r>
    </w:p>
    <w:p w14:paraId="41858825" w14:textId="77777777" w:rsidR="005B7797" w:rsidRPr="00A77E51" w:rsidRDefault="005B7797" w:rsidP="00A77E51">
      <w:pPr>
        <w:jc w:val="center"/>
      </w:pPr>
    </w:p>
    <w:p w14:paraId="3AC4D467" w14:textId="77777777" w:rsidR="005B7797" w:rsidRPr="00A77E51" w:rsidRDefault="005B7797" w:rsidP="00A77E51">
      <w:pPr>
        <w:jc w:val="center"/>
      </w:pPr>
    </w:p>
    <w:p w14:paraId="2C153F8C" w14:textId="77777777" w:rsidR="00485D43" w:rsidRPr="00A77E51" w:rsidRDefault="00485D43" w:rsidP="00A77E51">
      <w:pPr>
        <w:spacing w:line="360" w:lineRule="auto"/>
        <w:jc w:val="center"/>
      </w:pPr>
      <w:r w:rsidRPr="00A77E51">
        <w:t>ИНСТРУКЦИЯ</w:t>
      </w:r>
    </w:p>
    <w:p w14:paraId="4633A651" w14:textId="77777777" w:rsidR="00485D43" w:rsidRPr="00A77E51" w:rsidRDefault="00AD71BE" w:rsidP="00A77E51">
      <w:pPr>
        <w:spacing w:line="360" w:lineRule="auto"/>
        <w:jc w:val="center"/>
      </w:pPr>
      <w:r w:rsidRPr="00A77E51">
        <w:t>ПО МЕДИЦИНСКОМУ ПРИМЕНЕНИЮ ЛЕКАРСТВЕННОГО ПРЕПАРАТА</w:t>
      </w:r>
    </w:p>
    <w:p w14:paraId="46803DB4" w14:textId="458D5525" w:rsidR="00485D43" w:rsidRPr="00A77E51" w:rsidRDefault="002840C4" w:rsidP="00A77E51">
      <w:pPr>
        <w:spacing w:line="360" w:lineRule="auto"/>
        <w:jc w:val="center"/>
        <w:rPr>
          <w:b/>
          <w:bCs/>
        </w:rPr>
      </w:pPr>
      <w:r>
        <w:rPr>
          <w:b/>
          <w:bCs/>
        </w:rPr>
        <w:t>ТЕНОФОВИР</w:t>
      </w:r>
      <w:r w:rsidR="00C213B3">
        <w:rPr>
          <w:b/>
          <w:bCs/>
          <w:lang w:val="en-US"/>
        </w:rPr>
        <w:t> </w:t>
      </w:r>
    </w:p>
    <w:p w14:paraId="40CBF8C9" w14:textId="77777777" w:rsidR="007F1148" w:rsidRPr="008F4FDC" w:rsidRDefault="007F1148" w:rsidP="00A77E51">
      <w:pPr>
        <w:spacing w:line="360" w:lineRule="auto"/>
        <w:jc w:val="center"/>
        <w:rPr>
          <w:b/>
          <w:bCs/>
        </w:rPr>
      </w:pPr>
    </w:p>
    <w:p w14:paraId="6C13FB0D" w14:textId="77777777" w:rsidR="00485D43" w:rsidRPr="00A77E51" w:rsidRDefault="00485D43" w:rsidP="00A77E51">
      <w:pPr>
        <w:spacing w:line="360" w:lineRule="auto"/>
        <w:jc w:val="both"/>
      </w:pPr>
      <w:r w:rsidRPr="00A77E51">
        <w:rPr>
          <w:b/>
          <w:bCs/>
        </w:rPr>
        <w:t>Регистрационный</w:t>
      </w:r>
      <w:r w:rsidRPr="00A77E51">
        <w:rPr>
          <w:b/>
          <w:bCs/>
          <w:spacing w:val="-22"/>
        </w:rPr>
        <w:t xml:space="preserve"> </w:t>
      </w:r>
      <w:r w:rsidRPr="00A77E51">
        <w:rPr>
          <w:b/>
          <w:bCs/>
        </w:rPr>
        <w:t>номер:</w:t>
      </w:r>
      <w:r w:rsidR="008D3B30" w:rsidRPr="00A77E51">
        <w:rPr>
          <w:b/>
          <w:bCs/>
        </w:rPr>
        <w:t xml:space="preserve"> </w:t>
      </w:r>
      <w:r w:rsidR="008D3B30" w:rsidRPr="00C213B3">
        <w:rPr>
          <w:bCs/>
        </w:rPr>
        <w:t>ЛП-004153</w:t>
      </w:r>
    </w:p>
    <w:p w14:paraId="55931F3A" w14:textId="5E189AF1" w:rsidR="00485D43" w:rsidRPr="00A77E51" w:rsidRDefault="00485D43" w:rsidP="00A77E51">
      <w:pPr>
        <w:spacing w:line="360" w:lineRule="auto"/>
        <w:jc w:val="both"/>
      </w:pPr>
      <w:r w:rsidRPr="00A77E51">
        <w:rPr>
          <w:b/>
          <w:bCs/>
        </w:rPr>
        <w:t>Торговое</w:t>
      </w:r>
      <w:r w:rsidRPr="00A77E51">
        <w:rPr>
          <w:b/>
          <w:bCs/>
          <w:spacing w:val="-13"/>
        </w:rPr>
        <w:t xml:space="preserve"> </w:t>
      </w:r>
      <w:r w:rsidR="00E016DD" w:rsidRPr="00A77E51">
        <w:rPr>
          <w:b/>
          <w:bCs/>
        </w:rPr>
        <w:t>наименование</w:t>
      </w:r>
      <w:r w:rsidRPr="00A77E51">
        <w:rPr>
          <w:b/>
          <w:bCs/>
        </w:rPr>
        <w:t>:</w:t>
      </w:r>
      <w:r w:rsidRPr="00A77E51">
        <w:rPr>
          <w:bCs/>
          <w:spacing w:val="-14"/>
        </w:rPr>
        <w:t xml:space="preserve"> </w:t>
      </w:r>
      <w:r w:rsidR="002840C4">
        <w:t>Тенофовир</w:t>
      </w:r>
      <w:r w:rsidR="00C213B3">
        <w:rPr>
          <w:lang w:val="en-US"/>
        </w:rPr>
        <w:t> </w:t>
      </w:r>
    </w:p>
    <w:p w14:paraId="0821D781" w14:textId="77777777" w:rsidR="00485D43" w:rsidRPr="00A77E51" w:rsidRDefault="00485D43" w:rsidP="00A77E51">
      <w:pPr>
        <w:spacing w:line="360" w:lineRule="auto"/>
        <w:jc w:val="both"/>
      </w:pPr>
      <w:r w:rsidRPr="00A77E51">
        <w:rPr>
          <w:b/>
          <w:bCs/>
        </w:rPr>
        <w:t>МНН:</w:t>
      </w:r>
      <w:r w:rsidRPr="00A77E51">
        <w:rPr>
          <w:bCs/>
          <w:spacing w:val="-12"/>
        </w:rPr>
        <w:t xml:space="preserve"> </w:t>
      </w:r>
      <w:r w:rsidR="00AD71BE" w:rsidRPr="00A77E51">
        <w:t>Т</w:t>
      </w:r>
      <w:r w:rsidR="000706A6" w:rsidRPr="00A77E51">
        <w:t>енофовир</w:t>
      </w:r>
    </w:p>
    <w:p w14:paraId="155524C4" w14:textId="77777777" w:rsidR="00485D43" w:rsidRPr="00A77E51" w:rsidRDefault="00485D43" w:rsidP="00A77E51">
      <w:pPr>
        <w:spacing w:line="360" w:lineRule="auto"/>
        <w:jc w:val="both"/>
      </w:pPr>
      <w:r w:rsidRPr="00A77E51">
        <w:rPr>
          <w:b/>
          <w:bCs/>
        </w:rPr>
        <w:t>Лекарст</w:t>
      </w:r>
      <w:r w:rsidRPr="00A77E51">
        <w:rPr>
          <w:b/>
          <w:bCs/>
          <w:spacing w:val="1"/>
        </w:rPr>
        <w:t>в</w:t>
      </w:r>
      <w:r w:rsidRPr="00A77E51">
        <w:rPr>
          <w:b/>
          <w:bCs/>
        </w:rPr>
        <w:t>енная</w:t>
      </w:r>
      <w:r w:rsidRPr="00A77E51">
        <w:rPr>
          <w:b/>
          <w:bCs/>
          <w:spacing w:val="-18"/>
        </w:rPr>
        <w:t xml:space="preserve"> </w:t>
      </w:r>
      <w:r w:rsidRPr="00A77E51">
        <w:rPr>
          <w:b/>
          <w:bCs/>
        </w:rPr>
        <w:t>ф</w:t>
      </w:r>
      <w:r w:rsidRPr="00A77E51">
        <w:rPr>
          <w:b/>
          <w:bCs/>
          <w:spacing w:val="2"/>
        </w:rPr>
        <w:t>о</w:t>
      </w:r>
      <w:r w:rsidRPr="00A77E51">
        <w:rPr>
          <w:b/>
          <w:bCs/>
        </w:rPr>
        <w:t>рм</w:t>
      </w:r>
      <w:r w:rsidRPr="00A77E51">
        <w:rPr>
          <w:b/>
          <w:bCs/>
          <w:spacing w:val="1"/>
        </w:rPr>
        <w:t>а</w:t>
      </w:r>
      <w:r w:rsidRPr="00A77E51">
        <w:rPr>
          <w:b/>
          <w:bCs/>
        </w:rPr>
        <w:t>:</w:t>
      </w:r>
      <w:r w:rsidRPr="00A77E51">
        <w:rPr>
          <w:bCs/>
          <w:spacing w:val="-9"/>
        </w:rPr>
        <w:t xml:space="preserve"> </w:t>
      </w:r>
      <w:r w:rsidR="004042D2" w:rsidRPr="00A77E51">
        <w:t>таблетки, покрытые пленочной оболочкой</w:t>
      </w:r>
    </w:p>
    <w:p w14:paraId="20953A05" w14:textId="77777777" w:rsidR="003E1A21" w:rsidRPr="003E1A21" w:rsidRDefault="003E1A21" w:rsidP="003E1A2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E1A21">
        <w:rPr>
          <w:b/>
          <w:bCs/>
        </w:rPr>
        <w:t>Состав</w:t>
      </w:r>
    </w:p>
    <w:p w14:paraId="17DF95EE" w14:textId="77777777" w:rsidR="003E1A21" w:rsidRPr="003E1A21" w:rsidRDefault="003E1A21" w:rsidP="003E1A2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/>
        </w:rPr>
      </w:pPr>
      <w:r w:rsidRPr="003E1A21">
        <w:rPr>
          <w:bCs/>
          <w:i/>
        </w:rPr>
        <w:t>1 таблетка содержит:</w:t>
      </w:r>
    </w:p>
    <w:p w14:paraId="77878334" w14:textId="77777777" w:rsidR="003E1A21" w:rsidRPr="003E1A21" w:rsidRDefault="003E1A21" w:rsidP="003E1A2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E1A21">
        <w:rPr>
          <w:bCs/>
          <w:i/>
        </w:rPr>
        <w:t>Действующее вещество:</w:t>
      </w:r>
      <w:r w:rsidRPr="003E1A21">
        <w:rPr>
          <w:bCs/>
        </w:rPr>
        <w:t xml:space="preserve"> Тенофовира дизопроксила фумарат 300,00 мг</w:t>
      </w:r>
    </w:p>
    <w:p w14:paraId="24C1677D" w14:textId="77777777" w:rsidR="003E1A21" w:rsidRPr="003E1A21" w:rsidRDefault="003E1A21" w:rsidP="003E1A2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E1A21">
        <w:rPr>
          <w:bCs/>
          <w:i/>
        </w:rPr>
        <w:t>Вспомогательные вещества:</w:t>
      </w:r>
      <w:r w:rsidRPr="003E1A21">
        <w:rPr>
          <w:bCs/>
        </w:rPr>
        <w:t xml:space="preserve"> лактозы моногидрат, целлюлоза микрокристаллическая, кроскармеллоза натрия, крахмал прежелатинизированный, магния стеарат</w:t>
      </w:r>
    </w:p>
    <w:p w14:paraId="7F3BA8E2" w14:textId="77777777" w:rsidR="003E1A21" w:rsidRDefault="003E1A21" w:rsidP="003E1A2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bookmarkStart w:id="0" w:name="_GoBack"/>
      <w:r w:rsidRPr="003E1A21">
        <w:rPr>
          <w:bCs/>
          <w:i/>
        </w:rPr>
        <w:t>Пленочная оболочка:</w:t>
      </w:r>
      <w:r w:rsidRPr="003E1A21">
        <w:rPr>
          <w:bCs/>
        </w:rPr>
        <w:t xml:space="preserve"> </w:t>
      </w:r>
      <w:bookmarkEnd w:id="0"/>
      <w:r w:rsidRPr="003E1A21">
        <w:rPr>
          <w:bCs/>
        </w:rPr>
        <w:t>[поливиниловый спирт 38,60 %, титана диоксид (Е171) 28,98 %, тальк 17,50 %, полиэтиленгликоль 10,90 %, лецитин 3,00 %, алюминиевый лак на основе красителя индигокармина (Е132) 1,00 %, алюминиевый лак на основе красителя желтый солнечный закат FCF (Е110) 0,02 %]</w:t>
      </w:r>
    </w:p>
    <w:p w14:paraId="1EDA87C6" w14:textId="0DDD5612" w:rsidR="00486CE3" w:rsidRPr="00A77E51" w:rsidRDefault="00486CE3" w:rsidP="003E1A2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77E51">
        <w:rPr>
          <w:b/>
          <w:bCs/>
        </w:rPr>
        <w:t>Описание</w:t>
      </w:r>
    </w:p>
    <w:p w14:paraId="40976EAD" w14:textId="77777777" w:rsidR="007F1148" w:rsidRPr="00A77E51" w:rsidRDefault="004042D2" w:rsidP="00A77E51">
      <w:pPr>
        <w:spacing w:line="360" w:lineRule="auto"/>
        <w:jc w:val="both"/>
        <w:rPr>
          <w:rFonts w:eastAsia="Calibri"/>
        </w:rPr>
      </w:pPr>
      <w:r w:rsidRPr="00A77E51">
        <w:rPr>
          <w:rFonts w:eastAsia="Calibri"/>
        </w:rPr>
        <w:t xml:space="preserve">Таблетки овальные двояковыпуклые, покрытые пленочной оболочкой синего цвета. </w:t>
      </w:r>
      <w:r w:rsidR="00952801" w:rsidRPr="00A77E51">
        <w:t>На поперечном разрезе я</w:t>
      </w:r>
      <w:r w:rsidRPr="00A77E51">
        <w:rPr>
          <w:rFonts w:eastAsia="Calibri"/>
        </w:rPr>
        <w:t>дро таблетки белого или почти белого цвета.</w:t>
      </w:r>
    </w:p>
    <w:p w14:paraId="0C7DC216" w14:textId="77777777" w:rsidR="002268CE" w:rsidRPr="00A77E51" w:rsidRDefault="002268CE" w:rsidP="00613C0A">
      <w:pPr>
        <w:spacing w:before="120" w:line="360" w:lineRule="auto"/>
        <w:jc w:val="both"/>
      </w:pPr>
      <w:r w:rsidRPr="00A77E51">
        <w:rPr>
          <w:b/>
        </w:rPr>
        <w:t xml:space="preserve">Фармакотерапевтическая группа: </w:t>
      </w:r>
      <w:r w:rsidR="00AD71BE" w:rsidRPr="00A77E51">
        <w:rPr>
          <w:bCs/>
        </w:rPr>
        <w:t>П</w:t>
      </w:r>
      <w:r w:rsidR="004042D2" w:rsidRPr="00A77E51">
        <w:rPr>
          <w:bCs/>
        </w:rPr>
        <w:t>ротивовирусное средство</w:t>
      </w:r>
    </w:p>
    <w:p w14:paraId="4F8B744C" w14:textId="77777777" w:rsidR="002268CE" w:rsidRPr="00A77E51" w:rsidRDefault="002268CE" w:rsidP="00613C0A">
      <w:pPr>
        <w:spacing w:before="120" w:line="360" w:lineRule="auto"/>
        <w:jc w:val="both"/>
      </w:pPr>
      <w:r w:rsidRPr="00A77E51">
        <w:rPr>
          <w:b/>
        </w:rPr>
        <w:t xml:space="preserve">Код АТХ: </w:t>
      </w:r>
      <w:r w:rsidR="004042D2" w:rsidRPr="00A77E51">
        <w:rPr>
          <w:lang w:val="en-US"/>
        </w:rPr>
        <w:t>J</w:t>
      </w:r>
      <w:r w:rsidR="004042D2" w:rsidRPr="00A77E51">
        <w:t>05</w:t>
      </w:r>
      <w:r w:rsidR="004042D2" w:rsidRPr="00A77E51">
        <w:rPr>
          <w:lang w:val="en-US"/>
        </w:rPr>
        <w:t>AF</w:t>
      </w:r>
      <w:r w:rsidR="004042D2" w:rsidRPr="00A77E51">
        <w:t>07</w:t>
      </w:r>
    </w:p>
    <w:p w14:paraId="33F96B31" w14:textId="77777777" w:rsidR="002268CE" w:rsidRPr="00A77E51" w:rsidRDefault="00451F4B" w:rsidP="00613C0A">
      <w:pPr>
        <w:spacing w:before="120" w:line="360" w:lineRule="auto"/>
        <w:jc w:val="both"/>
        <w:rPr>
          <w:b/>
        </w:rPr>
      </w:pPr>
      <w:r w:rsidRPr="00A77E51">
        <w:rPr>
          <w:b/>
        </w:rPr>
        <w:t>Фармакологические свойства</w:t>
      </w:r>
    </w:p>
    <w:p w14:paraId="0291F9A4" w14:textId="77777777" w:rsidR="00356B5C" w:rsidRPr="00A77E51" w:rsidRDefault="00E85C78" w:rsidP="00A77E51">
      <w:pPr>
        <w:spacing w:line="360" w:lineRule="auto"/>
        <w:jc w:val="both"/>
        <w:rPr>
          <w:b/>
        </w:rPr>
      </w:pPr>
      <w:r w:rsidRPr="00A77E51">
        <w:rPr>
          <w:b/>
          <w:i/>
        </w:rPr>
        <w:t>Фармакодинамика</w:t>
      </w:r>
    </w:p>
    <w:p w14:paraId="3522BCF4" w14:textId="77777777" w:rsidR="008D6134" w:rsidRPr="00A77E51" w:rsidRDefault="008D6134" w:rsidP="00A77E51">
      <w:pPr>
        <w:spacing w:line="360" w:lineRule="auto"/>
        <w:jc w:val="both"/>
        <w:rPr>
          <w:i/>
        </w:rPr>
      </w:pPr>
      <w:r w:rsidRPr="00A77E51">
        <w:rPr>
          <w:i/>
        </w:rPr>
        <w:t>Механизм действия</w:t>
      </w:r>
    </w:p>
    <w:p w14:paraId="10B7B536" w14:textId="77777777" w:rsidR="004042D2" w:rsidRPr="00A77E51" w:rsidRDefault="008D6134" w:rsidP="00A77E51">
      <w:pPr>
        <w:spacing w:line="360" w:lineRule="auto"/>
        <w:jc w:val="both"/>
      </w:pPr>
      <w:r w:rsidRPr="00A77E51">
        <w:t>Тенофовира дизопроксила фумарат − это фумаратная соль пролекарства тенофовира дизопроксила. Тенофовира дизопроксил всасывается и преобразуется в активное вещество тенофовир, которое является аналогом нуклеозид монофосфата (нуклеотида). Затем тенофовир преобразуется в активный метаболит, тенофовира дифосфат, который является облигатным терминатором цепи, с помощью конструктивно экспрессированных клеточных ферментов. Тенофовира дифосфат имеет внутриклеточный период полувыведения 10</w:t>
      </w:r>
      <w:r w:rsidR="00BF2AE1" w:rsidRPr="00A77E51">
        <w:t> </w:t>
      </w:r>
      <w:r w:rsidRPr="00A77E51">
        <w:t>ч в активированных мононуклеарных клетках периферической крови и 50</w:t>
      </w:r>
      <w:r w:rsidR="00BF2AE1" w:rsidRPr="00A77E51">
        <w:t> </w:t>
      </w:r>
      <w:r w:rsidRPr="00A77E51">
        <w:t>ч</w:t>
      </w:r>
      <w:r w:rsidR="00BF2AE1" w:rsidRPr="00A77E51">
        <w:t xml:space="preserve"> </w:t>
      </w:r>
      <w:r w:rsidRPr="00A77E51">
        <w:t xml:space="preserve">в состоянии покоя. </w:t>
      </w:r>
      <w:r w:rsidRPr="00A77E51">
        <w:lastRenderedPageBreak/>
        <w:t>Тенофовира дифосфат ингибир</w:t>
      </w:r>
      <w:r w:rsidR="00933781" w:rsidRPr="00A77E51">
        <w:t xml:space="preserve">ует обратную транскриптазу </w:t>
      </w:r>
      <w:r w:rsidR="00BF2AE1" w:rsidRPr="00A77E51">
        <w:br/>
      </w:r>
      <w:r w:rsidR="00933781" w:rsidRPr="00A77E51">
        <w:t>ВИЧ-</w:t>
      </w:r>
      <w:r w:rsidR="0023503E" w:rsidRPr="00A77E51">
        <w:t>1</w:t>
      </w:r>
      <w:r w:rsidRPr="00A77E51">
        <w:t xml:space="preserve"> и полимеразу вируса гепатита</w:t>
      </w:r>
      <w:r w:rsidR="00A042FC">
        <w:t> </w:t>
      </w:r>
      <w:r w:rsidRPr="00A77E51">
        <w:t>В (ВГВ) путем конкуренции за прямое связывание с активным участком фермента с природным субстратом дезоксирибонуклеотида и обрывом цепи ДНК после</w:t>
      </w:r>
      <w:r w:rsidR="00933781" w:rsidRPr="00A77E51">
        <w:t xml:space="preserve"> в</w:t>
      </w:r>
      <w:r w:rsidRPr="00A77E51">
        <w:t>страивания в нее. Тенофовира дифосфат является слабым ингибитором клеточных</w:t>
      </w:r>
      <w:r w:rsidR="005A57A6" w:rsidRPr="00A77E51">
        <w:t xml:space="preserve"> п</w:t>
      </w:r>
      <w:r w:rsidRPr="00A77E51">
        <w:t xml:space="preserve">олимераз </w:t>
      </w:r>
      <w:r w:rsidR="005A57A6" w:rsidRPr="00A77E51">
        <w:t>α, β и γ</w:t>
      </w:r>
      <w:r w:rsidRPr="00A77E51">
        <w:t xml:space="preserve">. В анализах </w:t>
      </w:r>
      <w:r w:rsidRPr="00A77E51">
        <w:rPr>
          <w:i/>
        </w:rPr>
        <w:t>in vi</w:t>
      </w:r>
      <w:r w:rsidR="005A57A6" w:rsidRPr="00A77E51">
        <w:rPr>
          <w:i/>
          <w:lang w:val="en-US"/>
        </w:rPr>
        <w:t>t</w:t>
      </w:r>
      <w:r w:rsidRPr="00A77E51">
        <w:rPr>
          <w:i/>
        </w:rPr>
        <w:t>ro</w:t>
      </w:r>
      <w:r w:rsidRPr="00A77E51">
        <w:t xml:space="preserve"> тенофовир при концентрациях до </w:t>
      </w:r>
      <w:r w:rsidR="00644669" w:rsidRPr="00A77E51">
        <w:t>300 </w:t>
      </w:r>
      <w:r w:rsidRPr="00A77E51">
        <w:t>мкмоль/л также</w:t>
      </w:r>
      <w:r w:rsidR="0023503E" w:rsidRPr="00A77E51">
        <w:t xml:space="preserve"> п</w:t>
      </w:r>
      <w:r w:rsidRPr="00A77E51">
        <w:t>оказал отсутствие влияния на синтез митохондриальной ДНК или на продукцию молочной</w:t>
      </w:r>
      <w:r w:rsidR="0023503E" w:rsidRPr="00A77E51">
        <w:t xml:space="preserve"> к</w:t>
      </w:r>
      <w:r w:rsidRPr="00A77E51">
        <w:t>ислоты.</w:t>
      </w:r>
    </w:p>
    <w:p w14:paraId="72AF978E" w14:textId="77777777" w:rsidR="0023503E" w:rsidRPr="008F4FDC" w:rsidRDefault="00287A1E" w:rsidP="00A77E51">
      <w:pPr>
        <w:spacing w:line="360" w:lineRule="auto"/>
        <w:jc w:val="both"/>
        <w:rPr>
          <w:i/>
          <w:u w:val="single"/>
        </w:rPr>
      </w:pPr>
      <w:r w:rsidRPr="008F4FDC">
        <w:rPr>
          <w:i/>
          <w:u w:val="single"/>
        </w:rPr>
        <w:t>Активность против ВИЧ</w:t>
      </w:r>
    </w:p>
    <w:p w14:paraId="5556129A" w14:textId="77777777" w:rsidR="0023503E" w:rsidRPr="00A042FC" w:rsidRDefault="0023503E" w:rsidP="00A77E51">
      <w:pPr>
        <w:spacing w:line="360" w:lineRule="auto"/>
        <w:jc w:val="both"/>
        <w:rPr>
          <w:i/>
        </w:rPr>
      </w:pPr>
      <w:r w:rsidRPr="00A042FC">
        <w:rPr>
          <w:i/>
        </w:rPr>
        <w:t>Активность против ВИЧ in vi</w:t>
      </w:r>
      <w:r w:rsidRPr="00A042FC">
        <w:rPr>
          <w:i/>
          <w:lang w:val="en-US"/>
        </w:rPr>
        <w:t>t</w:t>
      </w:r>
      <w:r w:rsidRPr="00A042FC">
        <w:rPr>
          <w:i/>
        </w:rPr>
        <w:t>ro</w:t>
      </w:r>
    </w:p>
    <w:p w14:paraId="62148D10" w14:textId="77777777" w:rsidR="004042D2" w:rsidRPr="00A042FC" w:rsidRDefault="0023503E" w:rsidP="00A77E51">
      <w:pPr>
        <w:spacing w:line="360" w:lineRule="auto"/>
        <w:jc w:val="both"/>
      </w:pPr>
      <w:r w:rsidRPr="00A042FC">
        <w:t xml:space="preserve">Концентрация тенофовира, необходимая для </w:t>
      </w:r>
      <w:r w:rsidR="00AC09B4" w:rsidRPr="00A042FC">
        <w:t>50 </w:t>
      </w:r>
      <w:r w:rsidRPr="00A042FC">
        <w:t>% ингибирования (</w:t>
      </w:r>
      <w:r w:rsidRPr="00A042FC">
        <w:rPr>
          <w:lang w:val="en-US"/>
        </w:rPr>
        <w:t>EC</w:t>
      </w:r>
      <w:r w:rsidRPr="00A042FC">
        <w:rPr>
          <w:vertAlign w:val="subscript"/>
        </w:rPr>
        <w:t>50</w:t>
      </w:r>
      <w:r w:rsidRPr="00A042FC">
        <w:t xml:space="preserve"> − </w:t>
      </w:r>
      <w:r w:rsidR="00AC09B4" w:rsidRPr="00A042FC">
        <w:t>50 </w:t>
      </w:r>
      <w:r w:rsidRPr="00A042FC">
        <w:t>% эффективная концентрация) лабораторного штамма ВИЧ-1</w:t>
      </w:r>
      <w:r w:rsidRPr="00A042FC">
        <w:rPr>
          <w:vertAlign w:val="subscript"/>
          <w:lang w:val="en-US"/>
        </w:rPr>
        <w:t>IIIB</w:t>
      </w:r>
      <w:r w:rsidRPr="00A042FC">
        <w:t xml:space="preserve"> дикого типа составляет</w:t>
      </w:r>
      <w:r w:rsidR="00AC09B4" w:rsidRPr="00A042FC">
        <w:br/>
      </w:r>
      <w:r w:rsidRPr="00A042FC">
        <w:t>1-6</w:t>
      </w:r>
      <w:r w:rsidR="00BF2AE1" w:rsidRPr="00A042FC">
        <w:t> </w:t>
      </w:r>
      <w:r w:rsidRPr="00A042FC">
        <w:t>мкмоль/л в линии лимфоидных клеток и 1,1</w:t>
      </w:r>
      <w:r w:rsidR="00BF2AE1" w:rsidRPr="00A042FC">
        <w:t> </w:t>
      </w:r>
      <w:r w:rsidRPr="00A042FC">
        <w:t xml:space="preserve">мкмоль/л − против первичных изолятов ВИЧ-l подтипа В в мононуклеарных клетках периферической крови. Тенофовир также активен против ВИЧ-1 подтипов А, С, </w:t>
      </w:r>
      <w:r w:rsidRPr="00A042FC">
        <w:rPr>
          <w:lang w:val="en-US"/>
        </w:rPr>
        <w:t>D</w:t>
      </w:r>
      <w:r w:rsidRPr="00A042FC">
        <w:t xml:space="preserve">, Е, F, G и </w:t>
      </w:r>
      <w:proofErr w:type="gramStart"/>
      <w:r w:rsidRPr="00A042FC">
        <w:t>О</w:t>
      </w:r>
      <w:proofErr w:type="gramEnd"/>
      <w:r w:rsidRPr="00A042FC">
        <w:t>, а также против ВИЧ</w:t>
      </w:r>
      <w:r w:rsidRPr="00A042FC">
        <w:rPr>
          <w:vertAlign w:val="subscript"/>
          <w:lang w:val="en-US"/>
        </w:rPr>
        <w:t>BaL</w:t>
      </w:r>
      <w:r w:rsidRPr="00A042FC">
        <w:t xml:space="preserve"> в первичных моноцитах/макрофагах. Тенофовир также проявляет активность</w:t>
      </w:r>
      <w:r w:rsidRPr="00A042FC">
        <w:rPr>
          <w:i/>
        </w:rPr>
        <w:t xml:space="preserve"> in vi</w:t>
      </w:r>
      <w:r w:rsidR="002A15B3" w:rsidRPr="00A042FC">
        <w:rPr>
          <w:i/>
          <w:lang w:val="en-US"/>
        </w:rPr>
        <w:t>t</w:t>
      </w:r>
      <w:r w:rsidRPr="00A042FC">
        <w:rPr>
          <w:i/>
        </w:rPr>
        <w:t>ro</w:t>
      </w:r>
      <w:r w:rsidRPr="00A042FC">
        <w:t xml:space="preserve"> против ВИЧ-2 с 50</w:t>
      </w:r>
      <w:r w:rsidR="003B4F6A" w:rsidRPr="00A042FC">
        <w:t> </w:t>
      </w:r>
      <w:r w:rsidRPr="00A042FC">
        <w:t>% эффективной</w:t>
      </w:r>
      <w:r w:rsidR="002A15B3" w:rsidRPr="00A042FC">
        <w:t xml:space="preserve"> к</w:t>
      </w:r>
      <w:r w:rsidRPr="00A042FC">
        <w:t xml:space="preserve">онцентрацией </w:t>
      </w:r>
      <w:r w:rsidR="002A15B3" w:rsidRPr="00A042FC">
        <w:rPr>
          <w:lang w:val="en-US"/>
        </w:rPr>
        <w:t>EC</w:t>
      </w:r>
      <w:r w:rsidR="002A15B3" w:rsidRPr="00A042FC">
        <w:rPr>
          <w:vertAlign w:val="subscript"/>
        </w:rPr>
        <w:t>50</w:t>
      </w:r>
      <w:r w:rsidR="002A15B3" w:rsidRPr="00A042FC">
        <w:t xml:space="preserve"> </w:t>
      </w:r>
      <w:r w:rsidRPr="00A042FC">
        <w:t>в 4,9</w:t>
      </w:r>
      <w:r w:rsidR="00BF2AE1" w:rsidRPr="00A042FC">
        <w:t> </w:t>
      </w:r>
      <w:r w:rsidR="002A15B3" w:rsidRPr="00A042FC">
        <w:t>мкмоль/л в клетках лини</w:t>
      </w:r>
      <w:r w:rsidR="004B2F24" w:rsidRPr="00A042FC">
        <w:t>и</w:t>
      </w:r>
      <w:r w:rsidR="002A15B3" w:rsidRPr="00A042FC">
        <w:t xml:space="preserve"> МТ-4</w:t>
      </w:r>
      <w:r w:rsidRPr="00A042FC">
        <w:t>.</w:t>
      </w:r>
    </w:p>
    <w:p w14:paraId="497486F6" w14:textId="77777777" w:rsidR="005063AB" w:rsidRPr="00A042FC" w:rsidRDefault="00C95535" w:rsidP="00A77E51">
      <w:pPr>
        <w:spacing w:line="360" w:lineRule="auto"/>
        <w:jc w:val="both"/>
      </w:pPr>
      <w:r w:rsidRPr="00A042FC">
        <w:rPr>
          <w:i/>
        </w:rPr>
        <w:t>Резистентность ВИЧ</w:t>
      </w:r>
    </w:p>
    <w:p w14:paraId="166A77A4" w14:textId="77777777" w:rsidR="005063AB" w:rsidRPr="00A042FC" w:rsidRDefault="005063AB" w:rsidP="00A77E51">
      <w:pPr>
        <w:spacing w:line="360" w:lineRule="auto"/>
        <w:jc w:val="both"/>
      </w:pPr>
      <w:r w:rsidRPr="00A042FC">
        <w:t>Штаммы ВИЧ-1 со сниженной чувствительностью к тенофовиру и мутацией К65</w:t>
      </w:r>
      <w:r w:rsidRPr="00A042FC">
        <w:rPr>
          <w:lang w:val="en-US"/>
        </w:rPr>
        <w:t>R</w:t>
      </w:r>
      <w:r w:rsidRPr="00A042FC">
        <w:t xml:space="preserve"> в гене обратной транскриптазы были выделены </w:t>
      </w:r>
      <w:r w:rsidRPr="00A042FC">
        <w:rPr>
          <w:i/>
          <w:lang w:val="en-US"/>
        </w:rPr>
        <w:t>in</w:t>
      </w:r>
      <w:r w:rsidRPr="00A042FC">
        <w:rPr>
          <w:i/>
        </w:rPr>
        <w:t xml:space="preserve"> </w:t>
      </w:r>
      <w:r w:rsidRPr="00A042FC">
        <w:rPr>
          <w:i/>
          <w:lang w:val="en-US"/>
        </w:rPr>
        <w:t>vitro</w:t>
      </w:r>
      <w:r w:rsidR="00C95535" w:rsidRPr="00A042FC">
        <w:t xml:space="preserve"> </w:t>
      </w:r>
      <w:r w:rsidRPr="00A042FC">
        <w:t>и у некоторых пациентов. Следует избегать применения тенофовира дизопроксила фумарата у пациентов, ранее получавших антиретровирусную терапию, у которых обнаружены штаммы с мутацией К65</w:t>
      </w:r>
      <w:r w:rsidRPr="00A042FC">
        <w:rPr>
          <w:lang w:val="en-US"/>
        </w:rPr>
        <w:t>R</w:t>
      </w:r>
      <w:r w:rsidRPr="00A042FC">
        <w:t xml:space="preserve"> </w:t>
      </w:r>
      <w:r w:rsidR="00BF2AE1" w:rsidRPr="00A042FC">
        <w:br/>
      </w:r>
      <w:r w:rsidRPr="00A042FC">
        <w:t>(см. раздел «Особые указания»). Кроме того, под воздействием тенофовира происходит селекция штаммов с заменой К70Е в гене обратной транскриптазы ВИЧ-1, что приводит к незначительному снижению чувствительности к тенофовиру.</w:t>
      </w:r>
    </w:p>
    <w:p w14:paraId="0D7C941D" w14:textId="77777777" w:rsidR="002A15B3" w:rsidRPr="008F4FDC" w:rsidRDefault="00C95535" w:rsidP="00A77E51">
      <w:pPr>
        <w:spacing w:line="360" w:lineRule="auto"/>
        <w:jc w:val="both"/>
        <w:rPr>
          <w:i/>
          <w:u w:val="single"/>
        </w:rPr>
      </w:pPr>
      <w:r w:rsidRPr="008F4FDC">
        <w:rPr>
          <w:i/>
          <w:u w:val="single"/>
        </w:rPr>
        <w:t>Активность против ВГВ</w:t>
      </w:r>
    </w:p>
    <w:p w14:paraId="7F4AE596" w14:textId="77777777" w:rsidR="002A15B3" w:rsidRPr="00BB1603" w:rsidRDefault="0005701F" w:rsidP="00A77E51">
      <w:pPr>
        <w:spacing w:line="360" w:lineRule="auto"/>
        <w:jc w:val="both"/>
        <w:rPr>
          <w:i/>
        </w:rPr>
      </w:pPr>
      <w:r w:rsidRPr="00BB1603">
        <w:rPr>
          <w:i/>
        </w:rPr>
        <w:t>Активность против ВГВ</w:t>
      </w:r>
      <w:r w:rsidRPr="00BB1603">
        <w:t xml:space="preserve"> </w:t>
      </w:r>
      <w:r w:rsidR="002A15B3" w:rsidRPr="00BB1603">
        <w:rPr>
          <w:i/>
          <w:lang w:val="en-US"/>
        </w:rPr>
        <w:t>in</w:t>
      </w:r>
      <w:r w:rsidR="002A15B3" w:rsidRPr="00BB1603">
        <w:rPr>
          <w:i/>
        </w:rPr>
        <w:t xml:space="preserve"> </w:t>
      </w:r>
      <w:r w:rsidR="002A15B3" w:rsidRPr="00BB1603">
        <w:rPr>
          <w:i/>
          <w:lang w:val="en-US"/>
        </w:rPr>
        <w:t>vitro</w:t>
      </w:r>
    </w:p>
    <w:p w14:paraId="7756AF83" w14:textId="77777777" w:rsidR="002A15B3" w:rsidRPr="00BB1603" w:rsidRDefault="002A15B3" w:rsidP="00A77E51">
      <w:pPr>
        <w:spacing w:line="360" w:lineRule="auto"/>
        <w:jc w:val="both"/>
      </w:pPr>
      <w:r w:rsidRPr="00BB1603">
        <w:t xml:space="preserve">Антивирусную активность тенофовира против ВГВ </w:t>
      </w:r>
      <w:r w:rsidRPr="00BB1603">
        <w:rPr>
          <w:i/>
        </w:rPr>
        <w:t>in vitro</w:t>
      </w:r>
      <w:r w:rsidRPr="00BB1603">
        <w:t xml:space="preserve"> оценивали на клеточной линии HepG2 2.2.15. Значения </w:t>
      </w:r>
      <w:r w:rsidR="008330C4" w:rsidRPr="00BB1603">
        <w:rPr>
          <w:lang w:val="en-US"/>
        </w:rPr>
        <w:t>EC</w:t>
      </w:r>
      <w:r w:rsidR="008330C4" w:rsidRPr="00BB1603">
        <w:rPr>
          <w:vertAlign w:val="subscript"/>
        </w:rPr>
        <w:t>50</w:t>
      </w:r>
      <w:r w:rsidRPr="00BB1603">
        <w:t xml:space="preserve"> для тенофовира находились в пределах от 0,14 до 1,</w:t>
      </w:r>
      <w:r w:rsidR="00BF014E" w:rsidRPr="00BB1603">
        <w:t>5 </w:t>
      </w:r>
      <w:r w:rsidRPr="00BB1603">
        <w:t>мкмол</w:t>
      </w:r>
      <w:r w:rsidR="008330C4" w:rsidRPr="00BB1603">
        <w:t>ь/</w:t>
      </w:r>
      <w:r w:rsidRPr="00BB1603">
        <w:t>л, а значения С</w:t>
      </w:r>
      <w:r w:rsidR="008330C4" w:rsidRPr="00BB1603">
        <w:rPr>
          <w:lang w:val="en-US"/>
        </w:rPr>
        <w:t>C</w:t>
      </w:r>
      <w:r w:rsidR="008330C4" w:rsidRPr="00BB1603">
        <w:rPr>
          <w:vertAlign w:val="subscript"/>
        </w:rPr>
        <w:t xml:space="preserve">50 </w:t>
      </w:r>
      <w:r w:rsidR="008330C4" w:rsidRPr="00BB1603">
        <w:t>(</w:t>
      </w:r>
      <w:r w:rsidR="00AC09B4" w:rsidRPr="00BB1603">
        <w:t>50 </w:t>
      </w:r>
      <w:r w:rsidR="008330C4" w:rsidRPr="00BB1603">
        <w:t>% цитотоксичная концен</w:t>
      </w:r>
      <w:r w:rsidRPr="00BB1603">
        <w:t xml:space="preserve">трация) превышали </w:t>
      </w:r>
      <w:r w:rsidR="004C7FC4" w:rsidRPr="00BB1603">
        <w:t>100 </w:t>
      </w:r>
      <w:r w:rsidRPr="00BB1603">
        <w:t>мкмоль/л.</w:t>
      </w:r>
    </w:p>
    <w:p w14:paraId="539836E4" w14:textId="77777777" w:rsidR="00214D8D" w:rsidRPr="00BB1603" w:rsidRDefault="00214D8D" w:rsidP="00A77E51">
      <w:pPr>
        <w:spacing w:line="360" w:lineRule="auto"/>
        <w:jc w:val="both"/>
        <w:rPr>
          <w:i/>
        </w:rPr>
      </w:pPr>
      <w:r w:rsidRPr="00BB1603">
        <w:rPr>
          <w:i/>
        </w:rPr>
        <w:t>Резистентность ВГВ</w:t>
      </w:r>
    </w:p>
    <w:p w14:paraId="117E9DE0" w14:textId="77777777" w:rsidR="00214D8D" w:rsidRPr="00BB1603" w:rsidRDefault="00214D8D" w:rsidP="00A77E51">
      <w:pPr>
        <w:spacing w:line="360" w:lineRule="auto"/>
        <w:jc w:val="both"/>
      </w:pPr>
      <w:r w:rsidRPr="00BB1603">
        <w:t>Не было обнаружено мутаций в полимеразе ВГВ, связанных с резистентностью к тенофовира дизопроксила фумарату. В клеточных моделях, варианты ВГВ экспрессирующие замещения</w:t>
      </w:r>
      <w:r w:rsidR="00C61B18" w:rsidRPr="00BB1603">
        <w:t xml:space="preserve"> rt</w:t>
      </w:r>
      <w:r w:rsidR="00C61B18" w:rsidRPr="00BB1603">
        <w:rPr>
          <w:lang w:val="en-US"/>
        </w:rPr>
        <w:t>V</w:t>
      </w:r>
      <w:r w:rsidRPr="00BB1603">
        <w:t>173L, rt</w:t>
      </w:r>
      <w:r w:rsidR="00C61B18" w:rsidRPr="00BB1603">
        <w:rPr>
          <w:lang w:val="en-US"/>
        </w:rPr>
        <w:t>L</w:t>
      </w:r>
      <w:r w:rsidRPr="00BB1603">
        <w:t>180М и rt</w:t>
      </w:r>
      <w:r w:rsidR="00C61B18" w:rsidRPr="00BB1603">
        <w:t>M</w:t>
      </w:r>
      <w:r w:rsidRPr="00BB1603">
        <w:t>204</w:t>
      </w:r>
      <w:r w:rsidR="00C61B18" w:rsidRPr="00BB1603">
        <w:rPr>
          <w:lang w:val="en-US"/>
        </w:rPr>
        <w:t>I</w:t>
      </w:r>
      <w:r w:rsidR="00C61B18" w:rsidRPr="00BB1603">
        <w:t>/</w:t>
      </w:r>
      <w:r w:rsidR="00C61B18" w:rsidRPr="00BB1603">
        <w:rPr>
          <w:lang w:val="en-US"/>
        </w:rPr>
        <w:t>V</w:t>
      </w:r>
      <w:r w:rsidRPr="00BB1603">
        <w:t xml:space="preserve">, связанные с резистентностью </w:t>
      </w:r>
      <w:r w:rsidRPr="00BB1603">
        <w:lastRenderedPageBreak/>
        <w:t>к ламивудину и телбивудину,</w:t>
      </w:r>
      <w:r w:rsidR="00C61B18" w:rsidRPr="00BB1603">
        <w:t xml:space="preserve"> п</w:t>
      </w:r>
      <w:r w:rsidRPr="00BB1603">
        <w:t xml:space="preserve">родемонстрировали чувствительность к тенофовиру в </w:t>
      </w:r>
      <w:r w:rsidR="00BF2AE1" w:rsidRPr="00BB1603">
        <w:br/>
      </w:r>
      <w:r w:rsidRPr="00BB1603">
        <w:t>0,7</w:t>
      </w:r>
      <w:r w:rsidR="00BF2AE1" w:rsidRPr="00BB1603">
        <w:t>-</w:t>
      </w:r>
      <w:r w:rsidRPr="00BB1603">
        <w:t>3,4</w:t>
      </w:r>
      <w:r w:rsidR="00315AAF" w:rsidRPr="00BB1603">
        <w:t> </w:t>
      </w:r>
      <w:r w:rsidRPr="00BB1603">
        <w:t>раза превышающую</w:t>
      </w:r>
      <w:r w:rsidR="00C61B18" w:rsidRPr="00BB1603">
        <w:t xml:space="preserve"> ч</w:t>
      </w:r>
      <w:r w:rsidRPr="00BB1603">
        <w:t>увствительность вируса дикого типа.</w:t>
      </w:r>
    </w:p>
    <w:p w14:paraId="417B5412" w14:textId="77777777" w:rsidR="004042D2" w:rsidRPr="00BB1603" w:rsidRDefault="00214D8D" w:rsidP="00A77E51">
      <w:pPr>
        <w:spacing w:line="360" w:lineRule="auto"/>
        <w:jc w:val="both"/>
      </w:pPr>
      <w:r w:rsidRPr="00BB1603">
        <w:t>Штаммы ВГВ, экспрессирующие замещения rt</w:t>
      </w:r>
      <w:r w:rsidR="007F3470" w:rsidRPr="00BB1603">
        <w:t>L</w:t>
      </w:r>
      <w:r w:rsidR="00315AAF" w:rsidRPr="00BB1603">
        <w:t>180М</w:t>
      </w:r>
      <w:r w:rsidRPr="00BB1603">
        <w:t>, rt</w:t>
      </w:r>
      <w:r w:rsidR="007F3470" w:rsidRPr="00BB1603">
        <w:t>T</w:t>
      </w:r>
      <w:r w:rsidRPr="00BB1603">
        <w:t>184</w:t>
      </w:r>
      <w:r w:rsidR="007F3470" w:rsidRPr="00BB1603">
        <w:t>G</w:t>
      </w:r>
      <w:r w:rsidRPr="00BB1603">
        <w:t>, rt</w:t>
      </w:r>
      <w:r w:rsidR="007F3470" w:rsidRPr="00BB1603">
        <w:t>S</w:t>
      </w:r>
      <w:r w:rsidRPr="00BB1603">
        <w:t>202</w:t>
      </w:r>
      <w:r w:rsidR="007F3470" w:rsidRPr="00BB1603">
        <w:t>G/I</w:t>
      </w:r>
      <w:r w:rsidRPr="00BB1603">
        <w:t>, rt</w:t>
      </w:r>
      <w:r w:rsidR="007F3470" w:rsidRPr="00BB1603">
        <w:t>M</w:t>
      </w:r>
      <w:r w:rsidRPr="00BB1603">
        <w:t>204</w:t>
      </w:r>
      <w:r w:rsidR="007F3470" w:rsidRPr="00BB1603">
        <w:t>V</w:t>
      </w:r>
      <w:r w:rsidRPr="00BB1603">
        <w:t xml:space="preserve"> и</w:t>
      </w:r>
      <w:r w:rsidR="00FA3BC5" w:rsidRPr="00BB1603">
        <w:t xml:space="preserve"> </w:t>
      </w:r>
      <w:r w:rsidR="007F3470" w:rsidRPr="00BB1603">
        <w:t>r</w:t>
      </w:r>
      <w:r w:rsidRPr="00BB1603">
        <w:t>t</w:t>
      </w:r>
      <w:r w:rsidR="007F3470" w:rsidRPr="00BB1603">
        <w:t>M</w:t>
      </w:r>
      <w:r w:rsidRPr="00BB1603">
        <w:t>250</w:t>
      </w:r>
      <w:r w:rsidR="007F3470" w:rsidRPr="00BB1603">
        <w:t>V</w:t>
      </w:r>
      <w:r w:rsidRPr="00BB1603">
        <w:t>, связанные с резистентностью к энтекавиру, продемонстрировали чувствительность</w:t>
      </w:r>
      <w:r w:rsidR="007F3470" w:rsidRPr="00BB1603">
        <w:t xml:space="preserve"> к</w:t>
      </w:r>
      <w:r w:rsidRPr="00BB1603">
        <w:t xml:space="preserve"> тенофовиру в 0,6</w:t>
      </w:r>
      <w:r w:rsidR="00315AAF" w:rsidRPr="00BB1603">
        <w:t>-</w:t>
      </w:r>
      <w:r w:rsidRPr="00BB1603">
        <w:t>6,9</w:t>
      </w:r>
      <w:r w:rsidR="00315AAF" w:rsidRPr="00BB1603">
        <w:t> </w:t>
      </w:r>
      <w:r w:rsidRPr="00BB1603">
        <w:t>раза большую, чем вирус дикого типа. Штаммы ВГВ,</w:t>
      </w:r>
      <w:r w:rsidR="00C73512" w:rsidRPr="00BB1603">
        <w:t xml:space="preserve"> э</w:t>
      </w:r>
      <w:r w:rsidRPr="00BB1603">
        <w:t>кспрессирующие замещения rt</w:t>
      </w:r>
      <w:r w:rsidR="00C73512" w:rsidRPr="00BB1603">
        <w:t>А</w:t>
      </w:r>
      <w:r w:rsidRPr="00BB1603">
        <w:t>181</w:t>
      </w:r>
      <w:r w:rsidR="00C73512" w:rsidRPr="00BB1603">
        <w:rPr>
          <w:lang w:val="en-US"/>
        </w:rPr>
        <w:t>V</w:t>
      </w:r>
      <w:r w:rsidRPr="00BB1603">
        <w:t xml:space="preserve"> и rt</w:t>
      </w:r>
      <w:r w:rsidR="00C73512" w:rsidRPr="00BB1603">
        <w:t>N</w:t>
      </w:r>
      <w:r w:rsidRPr="00BB1603">
        <w:t>236</w:t>
      </w:r>
      <w:r w:rsidR="00C73512" w:rsidRPr="00BB1603">
        <w:t>T</w:t>
      </w:r>
      <w:r w:rsidRPr="00BB1603">
        <w:t>, связанные с устойчивостью к адефовиру,</w:t>
      </w:r>
      <w:r w:rsidR="00C73512" w:rsidRPr="00BB1603">
        <w:t xml:space="preserve"> п</w:t>
      </w:r>
      <w:r w:rsidRPr="00BB1603">
        <w:t>родемонстрировали чувствительность к тенофовиру в 2,9</w:t>
      </w:r>
      <w:r w:rsidR="00315AAF" w:rsidRPr="00BB1603">
        <w:t>-</w:t>
      </w:r>
      <w:r w:rsidR="00C73512" w:rsidRPr="00BB1603">
        <w:t>10</w:t>
      </w:r>
      <w:r w:rsidR="00315AAF" w:rsidRPr="00BB1603">
        <w:t> </w:t>
      </w:r>
      <w:r w:rsidR="00C73512" w:rsidRPr="00BB1603">
        <w:t>раз большую</w:t>
      </w:r>
      <w:r w:rsidRPr="00BB1603">
        <w:t>, чем вирус</w:t>
      </w:r>
      <w:r w:rsidR="00C73512" w:rsidRPr="00BB1603">
        <w:t xml:space="preserve"> д</w:t>
      </w:r>
      <w:r w:rsidRPr="00BB1603">
        <w:t xml:space="preserve">икого типа. Вирусы, содержащие замену </w:t>
      </w:r>
      <w:r w:rsidR="00C73512" w:rsidRPr="00BB1603">
        <w:t>rtА181</w:t>
      </w:r>
      <w:r w:rsidRPr="00BB1603">
        <w:t>Т, оставались чувствительными к</w:t>
      </w:r>
      <w:r w:rsidR="00C73512" w:rsidRPr="00BB1603">
        <w:t xml:space="preserve"> т</w:t>
      </w:r>
      <w:r w:rsidRPr="00BB1603">
        <w:t xml:space="preserve">енофовиру, величины </w:t>
      </w:r>
      <w:r w:rsidR="00C73512" w:rsidRPr="00BB1603">
        <w:rPr>
          <w:lang w:val="en-US"/>
        </w:rPr>
        <w:t>EC</w:t>
      </w:r>
      <w:r w:rsidR="00C73512" w:rsidRPr="00BB1603">
        <w:rPr>
          <w:vertAlign w:val="subscript"/>
        </w:rPr>
        <w:t>50</w:t>
      </w:r>
      <w:r w:rsidRPr="00BB1603">
        <w:t xml:space="preserve"> были в 1,5</w:t>
      </w:r>
      <w:r w:rsidR="00315AAF" w:rsidRPr="00BB1603">
        <w:t> </w:t>
      </w:r>
      <w:r w:rsidRPr="00BB1603">
        <w:t>раза больше, чем у вируса дикого типа.</w:t>
      </w:r>
    </w:p>
    <w:p w14:paraId="33550B22" w14:textId="77777777" w:rsidR="00476396" w:rsidRPr="00BB1603" w:rsidRDefault="00781FC3" w:rsidP="00A77E51">
      <w:pPr>
        <w:spacing w:line="360" w:lineRule="auto"/>
        <w:jc w:val="both"/>
        <w:rPr>
          <w:b/>
          <w:bCs/>
          <w:i/>
        </w:rPr>
      </w:pPr>
      <w:r w:rsidRPr="00BB1603">
        <w:rPr>
          <w:b/>
          <w:bCs/>
          <w:i/>
        </w:rPr>
        <w:t>Фармакокинетика</w:t>
      </w:r>
    </w:p>
    <w:p w14:paraId="6098F3F6" w14:textId="77777777" w:rsidR="00A147C4" w:rsidRPr="00BB1603" w:rsidRDefault="00C73512" w:rsidP="00A77E51">
      <w:pPr>
        <w:spacing w:line="360" w:lineRule="auto"/>
        <w:jc w:val="both"/>
        <w:rPr>
          <w:bCs/>
          <w:iCs/>
        </w:rPr>
      </w:pPr>
      <w:r w:rsidRPr="00BB1603">
        <w:rPr>
          <w:bCs/>
          <w:iCs/>
        </w:rPr>
        <w:t xml:space="preserve">Тенофовира дизопроксила фумарат </w:t>
      </w:r>
      <w:r w:rsidR="00291BEF" w:rsidRPr="00BB1603">
        <w:rPr>
          <w:bCs/>
          <w:iCs/>
        </w:rPr>
        <w:t>−</w:t>
      </w:r>
      <w:r w:rsidRPr="00BB1603">
        <w:rPr>
          <w:bCs/>
          <w:iCs/>
        </w:rPr>
        <w:t xml:space="preserve"> это растворимый в воде эфир пролекарства, который</w:t>
      </w:r>
      <w:r w:rsidR="00B868F7" w:rsidRPr="00BB1603">
        <w:rPr>
          <w:bCs/>
          <w:iCs/>
        </w:rPr>
        <w:t xml:space="preserve"> б</w:t>
      </w:r>
      <w:r w:rsidRPr="00BB1603">
        <w:rPr>
          <w:bCs/>
          <w:iCs/>
        </w:rPr>
        <w:t xml:space="preserve">ыстро преобразуется </w:t>
      </w:r>
      <w:r w:rsidRPr="00BB1603">
        <w:rPr>
          <w:bCs/>
          <w:i/>
          <w:iCs/>
        </w:rPr>
        <w:t>in vivo</w:t>
      </w:r>
      <w:r w:rsidRPr="00BB1603">
        <w:rPr>
          <w:bCs/>
          <w:iCs/>
        </w:rPr>
        <w:t xml:space="preserve"> в тенофовир и формальдегид.</w:t>
      </w:r>
    </w:p>
    <w:p w14:paraId="66D411AF" w14:textId="77777777" w:rsidR="00C73512" w:rsidRPr="00BB1603" w:rsidRDefault="00C73512" w:rsidP="00A77E51">
      <w:pPr>
        <w:spacing w:line="360" w:lineRule="auto"/>
        <w:jc w:val="both"/>
        <w:rPr>
          <w:bCs/>
          <w:iCs/>
        </w:rPr>
      </w:pPr>
      <w:r w:rsidRPr="00BB1603">
        <w:rPr>
          <w:bCs/>
          <w:iCs/>
        </w:rPr>
        <w:t xml:space="preserve">Тенофовир преобразуется внутриклеточно в тенофовира монофосфат и активный компонент </w:t>
      </w:r>
      <w:r w:rsidR="00B868F7" w:rsidRPr="00BB1603">
        <w:rPr>
          <w:bCs/>
          <w:iCs/>
        </w:rPr>
        <w:noBreakHyphen/>
      </w:r>
      <w:r w:rsidR="00267C1C" w:rsidRPr="00BB1603">
        <w:rPr>
          <w:bCs/>
          <w:iCs/>
        </w:rPr>
        <w:t xml:space="preserve"> т</w:t>
      </w:r>
      <w:r w:rsidRPr="00BB1603">
        <w:rPr>
          <w:bCs/>
          <w:iCs/>
        </w:rPr>
        <w:t>енофовира дифосфат</w:t>
      </w:r>
      <w:r w:rsidR="00267C1C" w:rsidRPr="00BB1603">
        <w:rPr>
          <w:bCs/>
          <w:iCs/>
        </w:rPr>
        <w:t>.</w:t>
      </w:r>
    </w:p>
    <w:p w14:paraId="70B7674C" w14:textId="77777777" w:rsidR="00356B5C" w:rsidRPr="00BB1603" w:rsidRDefault="00356B5C" w:rsidP="00A77E51">
      <w:pPr>
        <w:spacing w:line="360" w:lineRule="auto"/>
        <w:jc w:val="both"/>
        <w:rPr>
          <w:bCs/>
          <w:i/>
          <w:iCs/>
        </w:rPr>
      </w:pPr>
      <w:r w:rsidRPr="00BB1603">
        <w:rPr>
          <w:bCs/>
          <w:i/>
          <w:iCs/>
        </w:rPr>
        <w:t>Всасывание</w:t>
      </w:r>
    </w:p>
    <w:p w14:paraId="4702D10F" w14:textId="77777777" w:rsidR="00932381" w:rsidRPr="00BB1603" w:rsidRDefault="00A932A0" w:rsidP="00A77E51">
      <w:pPr>
        <w:spacing w:line="360" w:lineRule="auto"/>
        <w:jc w:val="both"/>
        <w:rPr>
          <w:bCs/>
        </w:rPr>
      </w:pPr>
      <w:r w:rsidRPr="00BB1603">
        <w:rPr>
          <w:bCs/>
        </w:rPr>
        <w:t xml:space="preserve">После приема внутрь ВИЧ-инфицированными пациентами тенофовира дизопроксила фумарат быстро всасывается и преобразуется в тенофовир. Прием многократных доз тенофовира дизопроксила фумарата с пищей ВИЧ-инфицированными пациентами приводил к средним (коэффициент </w:t>
      </w:r>
      <w:r w:rsidR="007107A3" w:rsidRPr="00BB1603">
        <w:rPr>
          <w:bCs/>
        </w:rPr>
        <w:t>вариации</w:t>
      </w:r>
      <w:r w:rsidRPr="00BB1603">
        <w:rPr>
          <w:bCs/>
        </w:rPr>
        <w:t>, % [С</w:t>
      </w:r>
      <w:r w:rsidR="007107A3" w:rsidRPr="00BB1603">
        <w:rPr>
          <w:bCs/>
          <w:lang w:val="en-US"/>
        </w:rPr>
        <w:t>V</w:t>
      </w:r>
      <w:r w:rsidRPr="00BB1603">
        <w:rPr>
          <w:bCs/>
        </w:rPr>
        <w:t>,</w:t>
      </w:r>
      <w:r w:rsidR="00C05F85" w:rsidRPr="00BB1603">
        <w:rPr>
          <w:bCs/>
        </w:rPr>
        <w:t> </w:t>
      </w:r>
      <w:r w:rsidRPr="00BB1603">
        <w:rPr>
          <w:bCs/>
        </w:rPr>
        <w:t>%]) значениям для тенофовира С</w:t>
      </w:r>
      <w:r w:rsidR="007107A3" w:rsidRPr="00BB1603">
        <w:rPr>
          <w:bCs/>
          <w:vertAlign w:val="subscript"/>
          <w:lang w:val="en-US"/>
        </w:rPr>
        <w:t>max</w:t>
      </w:r>
      <w:r w:rsidR="007107A3" w:rsidRPr="00BB1603">
        <w:rPr>
          <w:bCs/>
        </w:rPr>
        <w:t xml:space="preserve">, </w:t>
      </w:r>
      <w:r w:rsidRPr="00BB1603">
        <w:rPr>
          <w:bCs/>
        </w:rPr>
        <w:t>AUC и C</w:t>
      </w:r>
      <w:r w:rsidRPr="00BB1603">
        <w:rPr>
          <w:bCs/>
          <w:vertAlign w:val="subscript"/>
        </w:rPr>
        <w:t>min</w:t>
      </w:r>
      <w:r w:rsidR="007107A3" w:rsidRPr="00BB1603">
        <w:rPr>
          <w:bCs/>
        </w:rPr>
        <w:t xml:space="preserve"> </w:t>
      </w:r>
      <w:r w:rsidRPr="00BB1603">
        <w:rPr>
          <w:bCs/>
        </w:rPr>
        <w:t>326</w:t>
      </w:r>
      <w:r w:rsidR="00BE4DBB" w:rsidRPr="00BB1603">
        <w:rPr>
          <w:bCs/>
        </w:rPr>
        <w:t> </w:t>
      </w:r>
      <w:r w:rsidRPr="00BB1603">
        <w:rPr>
          <w:bCs/>
        </w:rPr>
        <w:t>(36,</w:t>
      </w:r>
      <w:r w:rsidR="00B65A44" w:rsidRPr="00BB1603">
        <w:rPr>
          <w:bCs/>
        </w:rPr>
        <w:t>6 </w:t>
      </w:r>
      <w:r w:rsidRPr="00BB1603">
        <w:rPr>
          <w:bCs/>
        </w:rPr>
        <w:t>%)</w:t>
      </w:r>
      <w:r w:rsidR="00315AAF" w:rsidRPr="00BB1603">
        <w:rPr>
          <w:bCs/>
        </w:rPr>
        <w:t> нг/мл</w:t>
      </w:r>
      <w:r w:rsidRPr="00BB1603">
        <w:rPr>
          <w:bCs/>
        </w:rPr>
        <w:t>, 3324</w:t>
      </w:r>
      <w:r w:rsidR="00BE4DBB" w:rsidRPr="00BB1603">
        <w:rPr>
          <w:bCs/>
        </w:rPr>
        <w:t> </w:t>
      </w:r>
      <w:r w:rsidRPr="00BB1603">
        <w:rPr>
          <w:bCs/>
        </w:rPr>
        <w:t>(41,</w:t>
      </w:r>
      <w:r w:rsidR="00B65A44" w:rsidRPr="00BB1603">
        <w:rPr>
          <w:bCs/>
        </w:rPr>
        <w:t>2</w:t>
      </w:r>
      <w:r w:rsidR="00B65A44" w:rsidRPr="00BB1603">
        <w:t> </w:t>
      </w:r>
      <w:r w:rsidRPr="00BB1603">
        <w:rPr>
          <w:bCs/>
        </w:rPr>
        <w:t>%)</w:t>
      </w:r>
      <w:r w:rsidR="00315AAF" w:rsidRPr="00BB1603">
        <w:rPr>
          <w:bCs/>
        </w:rPr>
        <w:t> </w:t>
      </w:r>
      <w:r w:rsidR="007107A3" w:rsidRPr="00BB1603">
        <w:rPr>
          <w:bCs/>
        </w:rPr>
        <w:t>нг</w:t>
      </w:r>
      <w:r w:rsidR="00B868F7" w:rsidRPr="00BB1603">
        <w:rPr>
          <w:bCs/>
        </w:rPr>
        <w:t>×</w:t>
      </w:r>
      <w:r w:rsidR="007107A3" w:rsidRPr="00BB1603">
        <w:rPr>
          <w:bCs/>
        </w:rPr>
        <w:t>ч/мл и 64,4</w:t>
      </w:r>
      <w:r w:rsidR="00BE4DBB" w:rsidRPr="00BB1603">
        <w:rPr>
          <w:bCs/>
        </w:rPr>
        <w:t> </w:t>
      </w:r>
      <w:r w:rsidR="007107A3" w:rsidRPr="00BB1603">
        <w:rPr>
          <w:bCs/>
        </w:rPr>
        <w:t>(39,</w:t>
      </w:r>
      <w:r w:rsidR="00B65A44" w:rsidRPr="00BB1603">
        <w:rPr>
          <w:bCs/>
        </w:rPr>
        <w:t>4 </w:t>
      </w:r>
      <w:r w:rsidR="007107A3" w:rsidRPr="00BB1603">
        <w:rPr>
          <w:bCs/>
        </w:rPr>
        <w:t>%)</w:t>
      </w:r>
      <w:r w:rsidR="00315AAF" w:rsidRPr="00BB1603">
        <w:rPr>
          <w:bCs/>
        </w:rPr>
        <w:t> </w:t>
      </w:r>
      <w:r w:rsidR="007107A3" w:rsidRPr="00BB1603">
        <w:rPr>
          <w:bCs/>
        </w:rPr>
        <w:t>нг/мл</w:t>
      </w:r>
      <w:r w:rsidRPr="00BB1603">
        <w:rPr>
          <w:bCs/>
        </w:rPr>
        <w:t>, соответственно.</w:t>
      </w:r>
      <w:r w:rsidR="007107A3" w:rsidRPr="00BB1603">
        <w:rPr>
          <w:bCs/>
        </w:rPr>
        <w:t xml:space="preserve"> </w:t>
      </w:r>
      <w:r w:rsidRPr="00BB1603">
        <w:rPr>
          <w:bCs/>
        </w:rPr>
        <w:t>Максимальные концентрации тенофовира наблюдаются в сыворотке крови в пределах 1</w:t>
      </w:r>
      <w:r w:rsidR="00315AAF" w:rsidRPr="00BB1603">
        <w:rPr>
          <w:bCs/>
        </w:rPr>
        <w:t> ч</w:t>
      </w:r>
      <w:r w:rsidR="007107A3" w:rsidRPr="00BB1603">
        <w:rPr>
          <w:bCs/>
        </w:rPr>
        <w:t xml:space="preserve"> п</w:t>
      </w:r>
      <w:r w:rsidRPr="00BB1603">
        <w:rPr>
          <w:bCs/>
        </w:rPr>
        <w:t>осле приема натощак и в пределах 2</w:t>
      </w:r>
      <w:r w:rsidR="00315AAF" w:rsidRPr="00BB1603">
        <w:rPr>
          <w:bCs/>
        </w:rPr>
        <w:t> </w:t>
      </w:r>
      <w:r w:rsidRPr="00BB1603">
        <w:rPr>
          <w:bCs/>
        </w:rPr>
        <w:t>ч</w:t>
      </w:r>
      <w:r w:rsidR="00315AAF" w:rsidRPr="00BB1603">
        <w:rPr>
          <w:bCs/>
        </w:rPr>
        <w:t xml:space="preserve"> </w:t>
      </w:r>
      <w:r w:rsidRPr="00BB1603">
        <w:rPr>
          <w:bCs/>
        </w:rPr>
        <w:t>при его приеме с пищей. При приеме тенофовира</w:t>
      </w:r>
      <w:r w:rsidR="007107A3" w:rsidRPr="00BB1603">
        <w:rPr>
          <w:bCs/>
        </w:rPr>
        <w:t xml:space="preserve"> д</w:t>
      </w:r>
      <w:r w:rsidRPr="00BB1603">
        <w:rPr>
          <w:bCs/>
        </w:rPr>
        <w:t>изопроксила фумарата пациентами натощак биодоступность составляла приблизительно</w:t>
      </w:r>
      <w:r w:rsidR="007107A3" w:rsidRPr="00BB1603">
        <w:rPr>
          <w:bCs/>
        </w:rPr>
        <w:t xml:space="preserve"> </w:t>
      </w:r>
      <w:r w:rsidR="00B65A44" w:rsidRPr="00BB1603">
        <w:rPr>
          <w:bCs/>
        </w:rPr>
        <w:t>25</w:t>
      </w:r>
      <w:r w:rsidR="00B65A44" w:rsidRPr="00BB1603">
        <w:t> </w:t>
      </w:r>
      <w:r w:rsidRPr="00BB1603">
        <w:rPr>
          <w:bCs/>
        </w:rPr>
        <w:t xml:space="preserve">%. Прием тенофовира дизопроксила </w:t>
      </w:r>
      <w:r w:rsidR="007107A3" w:rsidRPr="00BB1603">
        <w:rPr>
          <w:bCs/>
        </w:rPr>
        <w:t>ф</w:t>
      </w:r>
      <w:r w:rsidRPr="00BB1603">
        <w:rPr>
          <w:bCs/>
        </w:rPr>
        <w:t>умарата с богатой жирами пищей повышал</w:t>
      </w:r>
      <w:r w:rsidR="007107A3" w:rsidRPr="00BB1603">
        <w:rPr>
          <w:bCs/>
        </w:rPr>
        <w:t xml:space="preserve"> биодоступность, при этом з</w:t>
      </w:r>
      <w:r w:rsidRPr="00BB1603">
        <w:rPr>
          <w:bCs/>
        </w:rPr>
        <w:t>начение AUC тенофовира увеличивалось приблизительно на</w:t>
      </w:r>
      <w:r w:rsidR="007107A3" w:rsidRPr="00BB1603">
        <w:rPr>
          <w:bCs/>
        </w:rPr>
        <w:t xml:space="preserve"> </w:t>
      </w:r>
      <w:r w:rsidR="00B65A44" w:rsidRPr="00BB1603">
        <w:rPr>
          <w:bCs/>
        </w:rPr>
        <w:t>40 </w:t>
      </w:r>
      <w:r w:rsidRPr="00BB1603">
        <w:rPr>
          <w:bCs/>
        </w:rPr>
        <w:t xml:space="preserve">%, а </w:t>
      </w:r>
      <w:r w:rsidR="007107A3" w:rsidRPr="00BB1603">
        <w:rPr>
          <w:bCs/>
        </w:rPr>
        <w:t>С</w:t>
      </w:r>
      <w:r w:rsidR="007107A3" w:rsidRPr="00BB1603">
        <w:rPr>
          <w:bCs/>
          <w:vertAlign w:val="subscript"/>
          <w:lang w:val="en-US"/>
        </w:rPr>
        <w:t>max</w:t>
      </w:r>
      <w:r w:rsidRPr="00BB1603">
        <w:rPr>
          <w:bCs/>
        </w:rPr>
        <w:t xml:space="preserve"> </w:t>
      </w:r>
      <w:r w:rsidR="00142425" w:rsidRPr="00BB1603">
        <w:rPr>
          <w:bCs/>
        </w:rPr>
        <w:noBreakHyphen/>
      </w:r>
      <w:r w:rsidRPr="00BB1603">
        <w:rPr>
          <w:bCs/>
        </w:rPr>
        <w:t xml:space="preserve"> приблизительно на </w:t>
      </w:r>
      <w:r w:rsidR="00B65A44" w:rsidRPr="00BB1603">
        <w:rPr>
          <w:bCs/>
        </w:rPr>
        <w:t>14 </w:t>
      </w:r>
      <w:r w:rsidRPr="00BB1603">
        <w:rPr>
          <w:bCs/>
        </w:rPr>
        <w:t>%. После первой дозы тенофовира дизопроксила</w:t>
      </w:r>
      <w:r w:rsidR="007107A3" w:rsidRPr="00BB1603">
        <w:rPr>
          <w:bCs/>
        </w:rPr>
        <w:t xml:space="preserve"> ф</w:t>
      </w:r>
      <w:r w:rsidRPr="00BB1603">
        <w:rPr>
          <w:bCs/>
        </w:rPr>
        <w:t>умарата, полученной после приема богатой ж</w:t>
      </w:r>
      <w:r w:rsidR="004428E2" w:rsidRPr="00BB1603">
        <w:rPr>
          <w:bCs/>
        </w:rPr>
        <w:t>ирами пищи</w:t>
      </w:r>
      <w:r w:rsidRPr="00BB1603">
        <w:rPr>
          <w:bCs/>
        </w:rPr>
        <w:t xml:space="preserve">, медианное значение </w:t>
      </w:r>
      <w:r w:rsidR="004428E2" w:rsidRPr="00BB1603">
        <w:rPr>
          <w:bCs/>
        </w:rPr>
        <w:t>С</w:t>
      </w:r>
      <w:r w:rsidR="004428E2" w:rsidRPr="00BB1603">
        <w:rPr>
          <w:bCs/>
          <w:vertAlign w:val="subscript"/>
          <w:lang w:val="en-US"/>
        </w:rPr>
        <w:t>max</w:t>
      </w:r>
      <w:r w:rsidRPr="00BB1603">
        <w:rPr>
          <w:bCs/>
        </w:rPr>
        <w:t xml:space="preserve"> </w:t>
      </w:r>
      <w:r w:rsidR="004428E2" w:rsidRPr="00BB1603">
        <w:rPr>
          <w:bCs/>
        </w:rPr>
        <w:t>в с</w:t>
      </w:r>
      <w:r w:rsidRPr="00BB1603">
        <w:rPr>
          <w:bCs/>
        </w:rPr>
        <w:t>ыворотке</w:t>
      </w:r>
      <w:r w:rsidR="005A3CDE">
        <w:rPr>
          <w:bCs/>
        </w:rPr>
        <w:t xml:space="preserve"> крови</w:t>
      </w:r>
      <w:r w:rsidRPr="00BB1603">
        <w:rPr>
          <w:bCs/>
        </w:rPr>
        <w:t xml:space="preserve"> было в диапазоне значений от 213 до </w:t>
      </w:r>
      <w:r w:rsidR="00B65A44" w:rsidRPr="00BB1603">
        <w:rPr>
          <w:bCs/>
        </w:rPr>
        <w:t>375 </w:t>
      </w:r>
      <w:r w:rsidRPr="00BB1603">
        <w:rPr>
          <w:bCs/>
        </w:rPr>
        <w:t>нг/мл. Однако прием тенофовира</w:t>
      </w:r>
      <w:r w:rsidR="004428E2" w:rsidRPr="00BB1603">
        <w:rPr>
          <w:bCs/>
        </w:rPr>
        <w:t xml:space="preserve"> д</w:t>
      </w:r>
      <w:r w:rsidRPr="00BB1603">
        <w:rPr>
          <w:bCs/>
        </w:rPr>
        <w:t>изопроксила фумарата с низкокалорийной пищей не оказывает существенного влияния на</w:t>
      </w:r>
      <w:r w:rsidR="004428E2" w:rsidRPr="00BB1603">
        <w:rPr>
          <w:bCs/>
        </w:rPr>
        <w:t xml:space="preserve"> ф</w:t>
      </w:r>
      <w:r w:rsidRPr="00BB1603">
        <w:rPr>
          <w:bCs/>
        </w:rPr>
        <w:t>армакокинетику тенофовира.</w:t>
      </w:r>
    </w:p>
    <w:p w14:paraId="521B0F6E" w14:textId="77777777" w:rsidR="00356B5C" w:rsidRPr="00B97408" w:rsidRDefault="00356B5C" w:rsidP="00A77E51">
      <w:pPr>
        <w:spacing w:line="360" w:lineRule="auto"/>
        <w:jc w:val="both"/>
        <w:rPr>
          <w:bCs/>
        </w:rPr>
      </w:pPr>
      <w:r w:rsidRPr="00B97408">
        <w:rPr>
          <w:bCs/>
          <w:i/>
          <w:iCs/>
        </w:rPr>
        <w:t>Распределение</w:t>
      </w:r>
    </w:p>
    <w:p w14:paraId="732BC6C6" w14:textId="77777777" w:rsidR="00932381" w:rsidRPr="00B97408" w:rsidRDefault="004428E2" w:rsidP="00A77E51">
      <w:pPr>
        <w:spacing w:line="360" w:lineRule="auto"/>
        <w:jc w:val="both"/>
        <w:rPr>
          <w:bCs/>
        </w:rPr>
      </w:pPr>
      <w:r w:rsidRPr="00B97408">
        <w:rPr>
          <w:bCs/>
        </w:rPr>
        <w:t xml:space="preserve">После внутривенного применения равновесная концентрация распределения тенофовира оценивалась, приблизительно, в </w:t>
      </w:r>
      <w:r w:rsidR="00B65A44" w:rsidRPr="00B97408">
        <w:rPr>
          <w:bCs/>
        </w:rPr>
        <w:t>800</w:t>
      </w:r>
      <w:r w:rsidR="00B65A44" w:rsidRPr="00B97408">
        <w:t> </w:t>
      </w:r>
      <w:r w:rsidRPr="00B97408">
        <w:rPr>
          <w:bCs/>
        </w:rPr>
        <w:t xml:space="preserve">мл/кг. После приема тенофовира дизопроксила фумарата внутрь, тенофовир распределяется во многие ткани, при этом наибольшие концентрации наблюдаются в почках, печени и в эпителии кишечника в разных его </w:t>
      </w:r>
      <w:r w:rsidRPr="00B97408">
        <w:rPr>
          <w:bCs/>
        </w:rPr>
        <w:lastRenderedPageBreak/>
        <w:t xml:space="preserve">участках (доклинические исследования). </w:t>
      </w:r>
      <w:r w:rsidRPr="00B97408">
        <w:rPr>
          <w:bCs/>
          <w:i/>
        </w:rPr>
        <w:t>In vitro</w:t>
      </w:r>
      <w:r w:rsidRPr="00B97408">
        <w:rPr>
          <w:bCs/>
        </w:rPr>
        <w:t xml:space="preserve"> связывание тенофовира с белками плазмы или</w:t>
      </w:r>
      <w:r w:rsidR="00F71FAD" w:rsidRPr="00B97408">
        <w:rPr>
          <w:bCs/>
        </w:rPr>
        <w:t xml:space="preserve"> </w:t>
      </w:r>
      <w:r w:rsidRPr="00B97408">
        <w:rPr>
          <w:bCs/>
        </w:rPr>
        <w:t>сыворотки крови составляло менее 0,7 и 7,</w:t>
      </w:r>
      <w:r w:rsidR="00B65A44" w:rsidRPr="00B97408">
        <w:rPr>
          <w:bCs/>
        </w:rPr>
        <w:t>2 </w:t>
      </w:r>
      <w:r w:rsidRPr="00B97408">
        <w:rPr>
          <w:bCs/>
        </w:rPr>
        <w:t>%, соответственно, в диапазоне концентраций</w:t>
      </w:r>
      <w:r w:rsidR="00F71FAD" w:rsidRPr="00B97408">
        <w:rPr>
          <w:bCs/>
        </w:rPr>
        <w:t xml:space="preserve"> </w:t>
      </w:r>
      <w:r w:rsidRPr="00B97408">
        <w:rPr>
          <w:bCs/>
        </w:rPr>
        <w:t xml:space="preserve">тенофовира от 0,01 до </w:t>
      </w:r>
      <w:r w:rsidR="00B65A44" w:rsidRPr="00B97408">
        <w:rPr>
          <w:bCs/>
        </w:rPr>
        <w:t>25 </w:t>
      </w:r>
      <w:r w:rsidRPr="00B97408">
        <w:rPr>
          <w:bCs/>
        </w:rPr>
        <w:t>мкг/мл.</w:t>
      </w:r>
    </w:p>
    <w:p w14:paraId="717595A2" w14:textId="77777777" w:rsidR="00356B5C" w:rsidRPr="00B97408" w:rsidRDefault="00356B5C" w:rsidP="00A77E51">
      <w:pPr>
        <w:keepNext/>
        <w:spacing w:line="360" w:lineRule="auto"/>
        <w:jc w:val="both"/>
        <w:rPr>
          <w:bCs/>
        </w:rPr>
      </w:pPr>
      <w:r w:rsidRPr="00B97408">
        <w:rPr>
          <w:bCs/>
          <w:i/>
          <w:iCs/>
        </w:rPr>
        <w:t>Метаболизм</w:t>
      </w:r>
    </w:p>
    <w:p w14:paraId="46FA63DC" w14:textId="77777777" w:rsidR="00E30320" w:rsidRPr="00B97408" w:rsidRDefault="00F71FAD" w:rsidP="00A77E51">
      <w:pPr>
        <w:spacing w:line="360" w:lineRule="auto"/>
        <w:jc w:val="both"/>
        <w:rPr>
          <w:bCs/>
        </w:rPr>
      </w:pPr>
      <w:r w:rsidRPr="00B97408">
        <w:rPr>
          <w:bCs/>
        </w:rPr>
        <w:t xml:space="preserve">Исследования </w:t>
      </w:r>
      <w:r w:rsidRPr="00B97408">
        <w:rPr>
          <w:bCs/>
          <w:i/>
        </w:rPr>
        <w:t>in vi</w:t>
      </w:r>
      <w:r w:rsidRPr="00B97408">
        <w:rPr>
          <w:bCs/>
          <w:i/>
          <w:lang w:val="en-US"/>
        </w:rPr>
        <w:t>t</w:t>
      </w:r>
      <w:r w:rsidRPr="00B97408">
        <w:rPr>
          <w:bCs/>
          <w:i/>
        </w:rPr>
        <w:t>ro</w:t>
      </w:r>
      <w:r w:rsidRPr="00B97408">
        <w:rPr>
          <w:bCs/>
        </w:rPr>
        <w:t xml:space="preserve"> показали, что ни тенофовира дизопроксила фумарат, ни тенофовир не являются субстратами ферментов С</w:t>
      </w:r>
      <w:r w:rsidRPr="00B97408">
        <w:rPr>
          <w:bCs/>
          <w:lang w:val="en-US"/>
        </w:rPr>
        <w:t>Y</w:t>
      </w:r>
      <w:r w:rsidRPr="00B97408">
        <w:rPr>
          <w:bCs/>
        </w:rPr>
        <w:t>Р450. Более того, при концентрациях, существенно превышающих (примерно в 300</w:t>
      </w:r>
      <w:r w:rsidR="000C4B3C" w:rsidRPr="00B97408">
        <w:rPr>
          <w:bCs/>
        </w:rPr>
        <w:t> </w:t>
      </w:r>
      <w:r w:rsidRPr="00B97408">
        <w:rPr>
          <w:bCs/>
        </w:rPr>
        <w:t xml:space="preserve">раз) те, что наблюдаются </w:t>
      </w:r>
      <w:r w:rsidRPr="00B97408">
        <w:rPr>
          <w:bCs/>
          <w:i/>
        </w:rPr>
        <w:t>in vivo</w:t>
      </w:r>
      <w:r w:rsidRPr="00B97408">
        <w:rPr>
          <w:bCs/>
        </w:rPr>
        <w:t xml:space="preserve">, тенофовир не ингибировал </w:t>
      </w:r>
      <w:r w:rsidRPr="00B97408">
        <w:rPr>
          <w:bCs/>
          <w:i/>
        </w:rPr>
        <w:t>in vitro</w:t>
      </w:r>
      <w:r w:rsidRPr="00B97408">
        <w:rPr>
          <w:bCs/>
        </w:rPr>
        <w:t xml:space="preserve"> лекарственный метаболизм, опосредованный какой-либо из основных изоформ С</w:t>
      </w:r>
      <w:r w:rsidRPr="00B97408">
        <w:rPr>
          <w:bCs/>
          <w:lang w:val="en-US"/>
        </w:rPr>
        <w:t>Y</w:t>
      </w:r>
      <w:r w:rsidRPr="00B97408">
        <w:rPr>
          <w:bCs/>
        </w:rPr>
        <w:t>Р450 человека, участвующих в биотрансформации (С</w:t>
      </w:r>
      <w:r w:rsidRPr="00B97408">
        <w:rPr>
          <w:bCs/>
          <w:lang w:val="en-US"/>
        </w:rPr>
        <w:t>Y</w:t>
      </w:r>
      <w:r w:rsidRPr="00B97408">
        <w:rPr>
          <w:bCs/>
        </w:rPr>
        <w:t>Р3А4, С</w:t>
      </w:r>
      <w:r w:rsidRPr="00B97408">
        <w:rPr>
          <w:bCs/>
          <w:lang w:val="en-US"/>
        </w:rPr>
        <w:t>Y</w:t>
      </w:r>
      <w:r w:rsidRPr="00B97408">
        <w:rPr>
          <w:bCs/>
        </w:rPr>
        <w:t>Р2D6, С</w:t>
      </w:r>
      <w:r w:rsidRPr="00B97408">
        <w:rPr>
          <w:bCs/>
          <w:lang w:val="en-US"/>
        </w:rPr>
        <w:t>Y</w:t>
      </w:r>
      <w:r w:rsidRPr="00B97408">
        <w:rPr>
          <w:bCs/>
        </w:rPr>
        <w:t>Р2С9, С</w:t>
      </w:r>
      <w:r w:rsidRPr="00B97408">
        <w:rPr>
          <w:bCs/>
          <w:lang w:val="en-US"/>
        </w:rPr>
        <w:t>Y</w:t>
      </w:r>
      <w:r w:rsidRPr="00B97408">
        <w:rPr>
          <w:bCs/>
        </w:rPr>
        <w:t xml:space="preserve">Р2Е1 или CYP1A1/2). Тенофовира дизопроксила фумарат при концентрации </w:t>
      </w:r>
      <w:r w:rsidR="00B65A44" w:rsidRPr="00B97408">
        <w:rPr>
          <w:bCs/>
        </w:rPr>
        <w:t>100 </w:t>
      </w:r>
      <w:r w:rsidRPr="00B97408">
        <w:rPr>
          <w:bCs/>
        </w:rPr>
        <w:t>мкмоль/л не оказывал влияния ни на одну из изоформ С</w:t>
      </w:r>
      <w:r w:rsidRPr="00B97408">
        <w:rPr>
          <w:bCs/>
          <w:lang w:val="en-US"/>
        </w:rPr>
        <w:t>Y</w:t>
      </w:r>
      <w:r w:rsidRPr="00B97408">
        <w:rPr>
          <w:bCs/>
        </w:rPr>
        <w:t>Р450 за исключением С</w:t>
      </w:r>
      <w:r w:rsidRPr="00B97408">
        <w:rPr>
          <w:bCs/>
          <w:lang w:val="en-US"/>
        </w:rPr>
        <w:t>Y</w:t>
      </w:r>
      <w:r w:rsidRPr="00B97408">
        <w:rPr>
          <w:bCs/>
        </w:rPr>
        <w:t>Р1А1/2, где наблюдалось небольшое (</w:t>
      </w:r>
      <w:r w:rsidR="00B65A44" w:rsidRPr="00B97408">
        <w:rPr>
          <w:bCs/>
        </w:rPr>
        <w:t>6 </w:t>
      </w:r>
      <w:r w:rsidRPr="00B97408">
        <w:rPr>
          <w:bCs/>
        </w:rPr>
        <w:t xml:space="preserve">%), но статистически значимое снижение метаболизма субстрата CYP1A1/2. На основании этой информации можно сделать вывод о малой вероятности возникновения клинически значимых взаимодействий между тенофовира дизопроксила фумаратом и лекарственными </w:t>
      </w:r>
      <w:r w:rsidR="00C05F85" w:rsidRPr="00B97408">
        <w:rPr>
          <w:bCs/>
        </w:rPr>
        <w:t>препаратами</w:t>
      </w:r>
      <w:r w:rsidRPr="00B97408">
        <w:rPr>
          <w:bCs/>
        </w:rPr>
        <w:t>, метаболизм которых опосредован С</w:t>
      </w:r>
      <w:r w:rsidRPr="00B97408">
        <w:rPr>
          <w:bCs/>
          <w:lang w:val="en-US"/>
        </w:rPr>
        <w:t>Y</w:t>
      </w:r>
      <w:r w:rsidRPr="00B97408">
        <w:rPr>
          <w:bCs/>
        </w:rPr>
        <w:t>Р450.</w:t>
      </w:r>
    </w:p>
    <w:p w14:paraId="0ED5BA14" w14:textId="77777777" w:rsidR="00F71FAD" w:rsidRPr="00C26318" w:rsidRDefault="00F71FAD" w:rsidP="00A77E51">
      <w:pPr>
        <w:spacing w:line="360" w:lineRule="auto"/>
        <w:jc w:val="both"/>
        <w:rPr>
          <w:bCs/>
          <w:i/>
          <w:iCs/>
        </w:rPr>
      </w:pPr>
      <w:r w:rsidRPr="00C26318">
        <w:rPr>
          <w:bCs/>
          <w:i/>
          <w:iCs/>
        </w:rPr>
        <w:t>Выведение</w:t>
      </w:r>
    </w:p>
    <w:p w14:paraId="38504BDC" w14:textId="77777777" w:rsidR="00F71FAD" w:rsidRPr="00C26318" w:rsidRDefault="00F71FAD" w:rsidP="00A77E51">
      <w:pPr>
        <w:spacing w:line="360" w:lineRule="auto"/>
        <w:jc w:val="both"/>
        <w:rPr>
          <w:bCs/>
          <w:iCs/>
        </w:rPr>
      </w:pPr>
      <w:r w:rsidRPr="00C26318">
        <w:rPr>
          <w:bCs/>
          <w:iCs/>
        </w:rPr>
        <w:t>Тенофовир выводится главным образом почками, как путем фильтрации, так и активной</w:t>
      </w:r>
      <w:r w:rsidR="00C0078D" w:rsidRPr="00C26318">
        <w:rPr>
          <w:bCs/>
          <w:iCs/>
        </w:rPr>
        <w:t xml:space="preserve"> к</w:t>
      </w:r>
      <w:r w:rsidRPr="00C26318">
        <w:rPr>
          <w:bCs/>
          <w:iCs/>
        </w:rPr>
        <w:t>анальцевой транспортной системой, при этом после внутривенного введения</w:t>
      </w:r>
      <w:r w:rsidR="00C0078D" w:rsidRPr="00C26318">
        <w:rPr>
          <w:bCs/>
          <w:iCs/>
        </w:rPr>
        <w:t xml:space="preserve"> п</w:t>
      </w:r>
      <w:r w:rsidRPr="00C26318">
        <w:rPr>
          <w:bCs/>
          <w:iCs/>
        </w:rPr>
        <w:t>риблизительно 70</w:t>
      </w:r>
      <w:r w:rsidR="000C4B3C" w:rsidRPr="00C26318">
        <w:rPr>
          <w:bCs/>
          <w:iCs/>
        </w:rPr>
        <w:t>-</w:t>
      </w:r>
      <w:r w:rsidR="00B65A44" w:rsidRPr="00C26318">
        <w:rPr>
          <w:bCs/>
          <w:iCs/>
        </w:rPr>
        <w:t>80 </w:t>
      </w:r>
      <w:r w:rsidRPr="00C26318">
        <w:rPr>
          <w:bCs/>
          <w:iCs/>
        </w:rPr>
        <w:t>% дозы выводится в неизмененном виде с мочой. Общий клиренс</w:t>
      </w:r>
      <w:r w:rsidR="00C0078D" w:rsidRPr="00C26318">
        <w:rPr>
          <w:bCs/>
          <w:iCs/>
        </w:rPr>
        <w:t xml:space="preserve"> о</w:t>
      </w:r>
      <w:r w:rsidRPr="00C26318">
        <w:rPr>
          <w:bCs/>
          <w:iCs/>
        </w:rPr>
        <w:t xml:space="preserve">ценивался приблизительно в </w:t>
      </w:r>
      <w:r w:rsidR="00B65A44" w:rsidRPr="00C26318">
        <w:rPr>
          <w:bCs/>
          <w:iCs/>
        </w:rPr>
        <w:t>230 </w:t>
      </w:r>
      <w:r w:rsidRPr="00C26318">
        <w:rPr>
          <w:bCs/>
          <w:iCs/>
        </w:rPr>
        <w:t xml:space="preserve">мл/ч/кг (приблизительно </w:t>
      </w:r>
      <w:r w:rsidR="00B65A44" w:rsidRPr="00C26318">
        <w:rPr>
          <w:bCs/>
          <w:iCs/>
        </w:rPr>
        <w:t>300 </w:t>
      </w:r>
      <w:r w:rsidRPr="00C26318">
        <w:rPr>
          <w:bCs/>
          <w:iCs/>
        </w:rPr>
        <w:t>мл/мин). Почечный клиренс</w:t>
      </w:r>
      <w:r w:rsidR="00C0078D" w:rsidRPr="00C26318">
        <w:rPr>
          <w:bCs/>
          <w:iCs/>
        </w:rPr>
        <w:t xml:space="preserve"> о</w:t>
      </w:r>
      <w:r w:rsidRPr="00C26318">
        <w:rPr>
          <w:bCs/>
          <w:iCs/>
        </w:rPr>
        <w:t xml:space="preserve">ценивался приблизительно в </w:t>
      </w:r>
      <w:r w:rsidR="00B65A44" w:rsidRPr="00C26318">
        <w:rPr>
          <w:bCs/>
          <w:iCs/>
        </w:rPr>
        <w:t>160 </w:t>
      </w:r>
      <w:r w:rsidRPr="00C26318">
        <w:rPr>
          <w:bCs/>
          <w:iCs/>
        </w:rPr>
        <w:t xml:space="preserve">мл/ч/кг (около </w:t>
      </w:r>
      <w:r w:rsidR="00B65A44" w:rsidRPr="00C26318">
        <w:rPr>
          <w:bCs/>
          <w:iCs/>
        </w:rPr>
        <w:t>210 </w:t>
      </w:r>
      <w:r w:rsidRPr="00C26318">
        <w:rPr>
          <w:bCs/>
          <w:iCs/>
        </w:rPr>
        <w:t>мл/мин), что превышает скорость</w:t>
      </w:r>
      <w:r w:rsidR="00C0078D" w:rsidRPr="00C26318">
        <w:rPr>
          <w:bCs/>
          <w:iCs/>
        </w:rPr>
        <w:t xml:space="preserve"> к</w:t>
      </w:r>
      <w:r w:rsidRPr="00C26318">
        <w:rPr>
          <w:bCs/>
          <w:iCs/>
        </w:rPr>
        <w:t>лубочковой фильтрации. Это указывает на то, что секреция канальцами является важной</w:t>
      </w:r>
      <w:r w:rsidR="00C0078D" w:rsidRPr="00C26318">
        <w:rPr>
          <w:bCs/>
          <w:iCs/>
        </w:rPr>
        <w:t xml:space="preserve"> ч</w:t>
      </w:r>
      <w:r w:rsidRPr="00C26318">
        <w:rPr>
          <w:bCs/>
          <w:iCs/>
        </w:rPr>
        <w:t>астью выведения тенофовира. После приема внутрь окончательный период полувыведения</w:t>
      </w:r>
      <w:r w:rsidR="00C0078D" w:rsidRPr="00C26318">
        <w:rPr>
          <w:bCs/>
          <w:iCs/>
        </w:rPr>
        <w:t xml:space="preserve"> т</w:t>
      </w:r>
      <w:r w:rsidRPr="00C26318">
        <w:rPr>
          <w:bCs/>
          <w:iCs/>
        </w:rPr>
        <w:t>енофов</w:t>
      </w:r>
      <w:r w:rsidR="000C4B3C" w:rsidRPr="00C26318">
        <w:rPr>
          <w:bCs/>
          <w:iCs/>
        </w:rPr>
        <w:t>ира составляет от 12 до 18</w:t>
      </w:r>
      <w:r w:rsidR="00BE4DBB" w:rsidRPr="00C26318">
        <w:rPr>
          <w:bCs/>
          <w:iCs/>
        </w:rPr>
        <w:t> </w:t>
      </w:r>
      <w:r w:rsidR="000C4B3C" w:rsidRPr="00C26318">
        <w:rPr>
          <w:bCs/>
          <w:iCs/>
        </w:rPr>
        <w:t>ч</w:t>
      </w:r>
      <w:r w:rsidRPr="00C26318">
        <w:rPr>
          <w:bCs/>
          <w:iCs/>
        </w:rPr>
        <w:t>.</w:t>
      </w:r>
    </w:p>
    <w:p w14:paraId="7B7B1268" w14:textId="77777777" w:rsidR="00F71FAD" w:rsidRPr="00C26318" w:rsidRDefault="00F71FAD" w:rsidP="00A77E51">
      <w:pPr>
        <w:spacing w:line="360" w:lineRule="auto"/>
        <w:jc w:val="both"/>
        <w:rPr>
          <w:bCs/>
          <w:iCs/>
        </w:rPr>
      </w:pPr>
      <w:r w:rsidRPr="00C26318">
        <w:rPr>
          <w:bCs/>
          <w:iCs/>
        </w:rPr>
        <w:t>Исследованиями было установлено, что активная канальцевая транспортная система</w:t>
      </w:r>
      <w:r w:rsidR="00C0078D" w:rsidRPr="00C26318">
        <w:rPr>
          <w:bCs/>
          <w:iCs/>
        </w:rPr>
        <w:t xml:space="preserve"> с</w:t>
      </w:r>
      <w:r w:rsidRPr="00C26318">
        <w:rPr>
          <w:bCs/>
          <w:iCs/>
        </w:rPr>
        <w:t>екреции включает поглощение тенофовира проксимальными клеткам</w:t>
      </w:r>
      <w:r w:rsidR="005359D6" w:rsidRPr="00C26318">
        <w:rPr>
          <w:bCs/>
          <w:iCs/>
        </w:rPr>
        <w:t>и</w:t>
      </w:r>
      <w:r w:rsidRPr="00C26318">
        <w:rPr>
          <w:bCs/>
          <w:iCs/>
        </w:rPr>
        <w:t xml:space="preserve"> канальцев</w:t>
      </w:r>
      <w:r w:rsidR="00C0078D" w:rsidRPr="00C26318">
        <w:rPr>
          <w:bCs/>
          <w:iCs/>
        </w:rPr>
        <w:t xml:space="preserve"> п</w:t>
      </w:r>
      <w:r w:rsidRPr="00C26318">
        <w:rPr>
          <w:bCs/>
          <w:iCs/>
        </w:rPr>
        <w:t>осредством органических анионных транспортеров человека (h</w:t>
      </w:r>
      <w:r w:rsidR="00C0078D" w:rsidRPr="00C26318">
        <w:rPr>
          <w:bCs/>
          <w:iCs/>
        </w:rPr>
        <w:t>OA</w:t>
      </w:r>
      <w:r w:rsidRPr="00C26318">
        <w:rPr>
          <w:bCs/>
          <w:iCs/>
        </w:rPr>
        <w:t>Т) 1 и 3, и выведение его</w:t>
      </w:r>
      <w:r w:rsidR="00C0078D" w:rsidRPr="00C26318">
        <w:rPr>
          <w:bCs/>
          <w:iCs/>
        </w:rPr>
        <w:t xml:space="preserve"> в</w:t>
      </w:r>
      <w:r w:rsidRPr="00C26318">
        <w:rPr>
          <w:bCs/>
          <w:iCs/>
        </w:rPr>
        <w:t xml:space="preserve"> мочу с помощью белка-маркера мультилекарственной резистентности 4 (MRP</w:t>
      </w:r>
      <w:r w:rsidR="000C4B3C" w:rsidRPr="00C26318">
        <w:rPr>
          <w:bCs/>
          <w:iCs/>
        </w:rPr>
        <w:t> </w:t>
      </w:r>
      <w:r w:rsidRPr="00C26318">
        <w:rPr>
          <w:bCs/>
          <w:iCs/>
        </w:rPr>
        <w:t>4).</w:t>
      </w:r>
    </w:p>
    <w:p w14:paraId="3B7E17AB" w14:textId="77777777" w:rsidR="00F71FAD" w:rsidRPr="00C26318" w:rsidRDefault="00F71FAD" w:rsidP="00A77E51">
      <w:pPr>
        <w:spacing w:line="360" w:lineRule="auto"/>
        <w:jc w:val="both"/>
        <w:rPr>
          <w:bCs/>
          <w:i/>
          <w:iCs/>
        </w:rPr>
      </w:pPr>
      <w:r w:rsidRPr="00C26318">
        <w:rPr>
          <w:bCs/>
          <w:i/>
          <w:iCs/>
        </w:rPr>
        <w:t>Линейнос</w:t>
      </w:r>
      <w:r w:rsidR="00C0078D" w:rsidRPr="00C26318">
        <w:rPr>
          <w:bCs/>
          <w:i/>
          <w:iCs/>
        </w:rPr>
        <w:t>ть</w:t>
      </w:r>
      <w:r w:rsidRPr="00C26318">
        <w:rPr>
          <w:bCs/>
          <w:i/>
          <w:iCs/>
        </w:rPr>
        <w:t>-нелинейнос</w:t>
      </w:r>
      <w:r w:rsidR="00C0078D" w:rsidRPr="00C26318">
        <w:rPr>
          <w:bCs/>
          <w:i/>
          <w:iCs/>
        </w:rPr>
        <w:t>ть</w:t>
      </w:r>
    </w:p>
    <w:p w14:paraId="6F5EC692" w14:textId="77777777" w:rsidR="00F71FAD" w:rsidRPr="00C26318" w:rsidRDefault="00F71FAD" w:rsidP="00A77E51">
      <w:pPr>
        <w:spacing w:line="360" w:lineRule="auto"/>
        <w:jc w:val="both"/>
        <w:rPr>
          <w:bCs/>
          <w:iCs/>
        </w:rPr>
      </w:pPr>
      <w:r w:rsidRPr="00C26318">
        <w:rPr>
          <w:bCs/>
          <w:iCs/>
        </w:rPr>
        <w:t>Показатели фармакокинетики тенофовира не зависели от дозы тенофовира дизопроксила</w:t>
      </w:r>
      <w:r w:rsidR="00C0078D" w:rsidRPr="00C26318">
        <w:rPr>
          <w:bCs/>
          <w:iCs/>
        </w:rPr>
        <w:t xml:space="preserve"> ф</w:t>
      </w:r>
      <w:r w:rsidRPr="00C26318">
        <w:rPr>
          <w:bCs/>
          <w:iCs/>
        </w:rPr>
        <w:t xml:space="preserve">умарата в диапазоне от 75 до </w:t>
      </w:r>
      <w:r w:rsidR="009435EB" w:rsidRPr="00C26318">
        <w:rPr>
          <w:bCs/>
          <w:iCs/>
        </w:rPr>
        <w:t>600 </w:t>
      </w:r>
      <w:r w:rsidRPr="00C26318">
        <w:rPr>
          <w:bCs/>
          <w:iCs/>
        </w:rPr>
        <w:t xml:space="preserve">мг </w:t>
      </w:r>
      <w:r w:rsidR="00C0078D" w:rsidRPr="00C26318">
        <w:rPr>
          <w:bCs/>
          <w:iCs/>
        </w:rPr>
        <w:t>и</w:t>
      </w:r>
      <w:r w:rsidRPr="00C26318">
        <w:rPr>
          <w:bCs/>
          <w:iCs/>
        </w:rPr>
        <w:t xml:space="preserve"> не</w:t>
      </w:r>
      <w:r w:rsidR="00C0078D" w:rsidRPr="00C26318">
        <w:rPr>
          <w:bCs/>
          <w:iCs/>
        </w:rPr>
        <w:t xml:space="preserve"> </w:t>
      </w:r>
      <w:r w:rsidRPr="00C26318">
        <w:rPr>
          <w:bCs/>
          <w:iCs/>
        </w:rPr>
        <w:t>изменялись при повторном введении при любом</w:t>
      </w:r>
      <w:r w:rsidR="00C0078D" w:rsidRPr="00C26318">
        <w:rPr>
          <w:bCs/>
          <w:iCs/>
        </w:rPr>
        <w:t xml:space="preserve"> уровне доз</w:t>
      </w:r>
      <w:r w:rsidRPr="00C26318">
        <w:rPr>
          <w:bCs/>
          <w:iCs/>
        </w:rPr>
        <w:t>.</w:t>
      </w:r>
    </w:p>
    <w:p w14:paraId="21F4CBDF" w14:textId="77777777" w:rsidR="00287A1E" w:rsidRPr="000A2F50" w:rsidRDefault="00D62747" w:rsidP="00A77E51">
      <w:pPr>
        <w:keepNext/>
        <w:spacing w:line="360" w:lineRule="auto"/>
        <w:jc w:val="both"/>
        <w:rPr>
          <w:bCs/>
          <w:i/>
          <w:iCs/>
          <w:u w:val="single"/>
        </w:rPr>
      </w:pPr>
      <w:r w:rsidRPr="000A2F50">
        <w:rPr>
          <w:bCs/>
          <w:i/>
          <w:iCs/>
          <w:u w:val="single"/>
        </w:rPr>
        <w:lastRenderedPageBreak/>
        <w:t>Фармакокинетика</w:t>
      </w:r>
      <w:r w:rsidR="00F71FAD" w:rsidRPr="000A2F50">
        <w:rPr>
          <w:bCs/>
          <w:i/>
          <w:iCs/>
          <w:u w:val="single"/>
        </w:rPr>
        <w:t xml:space="preserve"> у особых групп </w:t>
      </w:r>
      <w:r w:rsidR="00C0078D" w:rsidRPr="000A2F50">
        <w:rPr>
          <w:bCs/>
          <w:i/>
          <w:iCs/>
          <w:u w:val="single"/>
        </w:rPr>
        <w:t>пациентов</w:t>
      </w:r>
    </w:p>
    <w:p w14:paraId="473DF52A" w14:textId="77777777" w:rsidR="00287A1E" w:rsidRPr="000A2F50" w:rsidRDefault="00015D6C" w:rsidP="00A77E51">
      <w:pPr>
        <w:keepNext/>
        <w:spacing w:line="360" w:lineRule="auto"/>
        <w:jc w:val="both"/>
        <w:rPr>
          <w:bCs/>
          <w:i/>
          <w:iCs/>
        </w:rPr>
      </w:pPr>
      <w:r w:rsidRPr="000A2F50">
        <w:rPr>
          <w:bCs/>
          <w:i/>
          <w:iCs/>
        </w:rPr>
        <w:t>Дети</w:t>
      </w:r>
    </w:p>
    <w:p w14:paraId="2EF32D37" w14:textId="77777777" w:rsidR="00015D6C" w:rsidRPr="000A2F50" w:rsidRDefault="00015D6C" w:rsidP="00A77E51">
      <w:pPr>
        <w:spacing w:line="360" w:lineRule="auto"/>
        <w:jc w:val="both"/>
        <w:rPr>
          <w:bCs/>
          <w:iCs/>
        </w:rPr>
      </w:pPr>
      <w:r w:rsidRPr="000A2F50">
        <w:rPr>
          <w:bCs/>
          <w:i/>
          <w:iCs/>
        </w:rPr>
        <w:t>ВИЧ-1:</w:t>
      </w:r>
      <w:r w:rsidRPr="000A2F50">
        <w:rPr>
          <w:bCs/>
          <w:iCs/>
        </w:rPr>
        <w:t xml:space="preserve"> Фармакокинетические параметры тенофовира в равновесном состоянии оценивали у 8</w:t>
      </w:r>
      <w:r w:rsidR="000C4B3C" w:rsidRPr="000A2F50">
        <w:rPr>
          <w:bCs/>
          <w:iCs/>
        </w:rPr>
        <w:t> детей (возраст от 12 до 18 </w:t>
      </w:r>
      <w:r w:rsidRPr="000A2F50">
        <w:rPr>
          <w:bCs/>
          <w:iCs/>
        </w:rPr>
        <w:t>лет) с массой тела ≥35</w:t>
      </w:r>
      <w:r w:rsidR="000C4B3C" w:rsidRPr="000A2F50">
        <w:rPr>
          <w:bCs/>
          <w:iCs/>
        </w:rPr>
        <w:t> </w:t>
      </w:r>
      <w:r w:rsidRPr="000A2F50">
        <w:rPr>
          <w:bCs/>
          <w:iCs/>
        </w:rPr>
        <w:t xml:space="preserve">кг, инфицированных </w:t>
      </w:r>
      <w:r w:rsidR="000A2F50" w:rsidRPr="000A2F50">
        <w:rPr>
          <w:bCs/>
          <w:iCs/>
        </w:rPr>
        <w:br/>
      </w:r>
      <w:r w:rsidRPr="000A2F50">
        <w:rPr>
          <w:bCs/>
          <w:iCs/>
        </w:rPr>
        <w:t xml:space="preserve">ВИЧ-1. Средние </w:t>
      </w:r>
      <w:r w:rsidR="00B1227D" w:rsidRPr="000A2F50">
        <w:rPr>
          <w:bCs/>
          <w:iCs/>
        </w:rPr>
        <w:t>(± </w:t>
      </w:r>
      <w:r w:rsidRPr="000A2F50">
        <w:rPr>
          <w:bCs/>
          <w:iCs/>
        </w:rPr>
        <w:t xml:space="preserve">SD) значения </w:t>
      </w:r>
      <w:r w:rsidRPr="000A2F50">
        <w:rPr>
          <w:bCs/>
          <w:iCs/>
          <w:lang w:val="en-US"/>
        </w:rPr>
        <w:t>C</w:t>
      </w:r>
      <w:r w:rsidRPr="000A2F50">
        <w:rPr>
          <w:bCs/>
          <w:iCs/>
          <w:vertAlign w:val="subscript"/>
          <w:lang w:val="en-US"/>
        </w:rPr>
        <w:t>max</w:t>
      </w:r>
      <w:r w:rsidRPr="000A2F50">
        <w:rPr>
          <w:bCs/>
          <w:iCs/>
        </w:rPr>
        <w:t xml:space="preserve"> и AUC</w:t>
      </w:r>
      <w:r w:rsidRPr="000A2F50">
        <w:rPr>
          <w:bCs/>
          <w:iCs/>
          <w:vertAlign w:val="subscript"/>
          <w:lang w:val="en-US"/>
        </w:rPr>
        <w:t>tau</w:t>
      </w:r>
      <w:r w:rsidRPr="000A2F50">
        <w:rPr>
          <w:bCs/>
          <w:iCs/>
        </w:rPr>
        <w:t xml:space="preserve"> составляли </w:t>
      </w:r>
      <w:r w:rsidR="000A2F50" w:rsidRPr="000A2F50">
        <w:rPr>
          <w:bCs/>
          <w:iCs/>
        </w:rPr>
        <w:t>(</w:t>
      </w:r>
      <w:r w:rsidRPr="000A2F50">
        <w:rPr>
          <w:bCs/>
          <w:iCs/>
        </w:rPr>
        <w:t>0,</w:t>
      </w:r>
      <w:r w:rsidR="00B1227D" w:rsidRPr="000A2F50">
        <w:rPr>
          <w:bCs/>
          <w:iCs/>
        </w:rPr>
        <w:t>38</w:t>
      </w:r>
      <w:r w:rsidR="000A2F50" w:rsidRPr="000A2F50">
        <w:rPr>
          <w:bCs/>
          <w:iCs/>
        </w:rPr>
        <w:t> </w:t>
      </w:r>
      <w:r w:rsidR="00B1227D" w:rsidRPr="000A2F50">
        <w:rPr>
          <w:bCs/>
          <w:iCs/>
        </w:rPr>
        <w:t>±</w:t>
      </w:r>
      <w:r w:rsidR="000A2F50" w:rsidRPr="000A2F50">
        <w:rPr>
          <w:bCs/>
          <w:iCs/>
        </w:rPr>
        <w:t> </w:t>
      </w:r>
      <w:r w:rsidRPr="000A2F50">
        <w:rPr>
          <w:bCs/>
          <w:iCs/>
        </w:rPr>
        <w:t>0,</w:t>
      </w:r>
      <w:r w:rsidR="00B1227D" w:rsidRPr="000A2F50">
        <w:rPr>
          <w:bCs/>
          <w:iCs/>
        </w:rPr>
        <w:t>13</w:t>
      </w:r>
      <w:r w:rsidR="000A2F50" w:rsidRPr="000A2F50">
        <w:rPr>
          <w:bCs/>
          <w:iCs/>
        </w:rPr>
        <w:t>)</w:t>
      </w:r>
      <w:r w:rsidR="00B1227D" w:rsidRPr="000A2F50">
        <w:rPr>
          <w:bCs/>
          <w:iCs/>
        </w:rPr>
        <w:t> </w:t>
      </w:r>
      <w:r w:rsidRPr="000A2F50">
        <w:rPr>
          <w:bCs/>
          <w:iCs/>
        </w:rPr>
        <w:t xml:space="preserve">мкг/мл и </w:t>
      </w:r>
      <w:r w:rsidR="000A2F50" w:rsidRPr="000A2F50">
        <w:rPr>
          <w:bCs/>
          <w:iCs/>
        </w:rPr>
        <w:t>(</w:t>
      </w:r>
      <w:r w:rsidRPr="000A2F50">
        <w:rPr>
          <w:bCs/>
          <w:iCs/>
        </w:rPr>
        <w:t>3,</w:t>
      </w:r>
      <w:r w:rsidR="00BF014E" w:rsidRPr="000A2F50">
        <w:rPr>
          <w:bCs/>
          <w:iCs/>
        </w:rPr>
        <w:t>39</w:t>
      </w:r>
      <w:r w:rsidR="000A2F50" w:rsidRPr="000A2F50">
        <w:rPr>
          <w:bCs/>
          <w:iCs/>
        </w:rPr>
        <w:t> </w:t>
      </w:r>
      <w:r w:rsidR="00BF014E" w:rsidRPr="000A2F50">
        <w:rPr>
          <w:bCs/>
          <w:iCs/>
        </w:rPr>
        <w:t>±</w:t>
      </w:r>
      <w:r w:rsidR="000A2F50" w:rsidRPr="000A2F50">
        <w:rPr>
          <w:bCs/>
          <w:iCs/>
        </w:rPr>
        <w:t> </w:t>
      </w:r>
      <w:r w:rsidRPr="000A2F50">
        <w:rPr>
          <w:bCs/>
          <w:iCs/>
        </w:rPr>
        <w:t>1,22</w:t>
      </w:r>
      <w:r w:rsidR="000A2F50" w:rsidRPr="000A2F50">
        <w:rPr>
          <w:bCs/>
          <w:iCs/>
        </w:rPr>
        <w:t>)</w:t>
      </w:r>
      <w:r w:rsidRPr="000A2F50">
        <w:rPr>
          <w:bCs/>
          <w:iCs/>
        </w:rPr>
        <w:t> мкг</w:t>
      </w:r>
      <w:r w:rsidR="00D62747" w:rsidRPr="000A2F50">
        <w:rPr>
          <w:bCs/>
          <w:iCs/>
        </w:rPr>
        <w:t>×</w:t>
      </w:r>
      <w:r w:rsidRPr="000A2F50">
        <w:rPr>
          <w:bCs/>
          <w:iCs/>
        </w:rPr>
        <w:t xml:space="preserve">ч/мл, соответственно. Экспозиция тенофовира, которая была достигнута у </w:t>
      </w:r>
      <w:r w:rsidR="00F03B45" w:rsidRPr="000A2F50">
        <w:rPr>
          <w:bCs/>
          <w:iCs/>
        </w:rPr>
        <w:t>детей</w:t>
      </w:r>
      <w:r w:rsidRPr="000A2F50">
        <w:rPr>
          <w:bCs/>
          <w:iCs/>
        </w:rPr>
        <w:t>, получавших</w:t>
      </w:r>
      <w:r w:rsidR="008B4F55" w:rsidRPr="000A2F50">
        <w:rPr>
          <w:bCs/>
          <w:iCs/>
        </w:rPr>
        <w:t xml:space="preserve"> с</w:t>
      </w:r>
      <w:r w:rsidRPr="000A2F50">
        <w:rPr>
          <w:bCs/>
          <w:iCs/>
        </w:rPr>
        <w:t>уточные дозы 300</w:t>
      </w:r>
      <w:r w:rsidR="000C4B3C" w:rsidRPr="000A2F50">
        <w:rPr>
          <w:bCs/>
          <w:iCs/>
        </w:rPr>
        <w:t> </w:t>
      </w:r>
      <w:r w:rsidRPr="000A2F50">
        <w:rPr>
          <w:bCs/>
          <w:iCs/>
        </w:rPr>
        <w:t>мг тенофовира дизопроксила фумарат</w:t>
      </w:r>
      <w:r w:rsidR="00F03B45" w:rsidRPr="000A2F50">
        <w:rPr>
          <w:bCs/>
          <w:iCs/>
        </w:rPr>
        <w:t>а</w:t>
      </w:r>
      <w:r w:rsidRPr="000A2F50">
        <w:rPr>
          <w:bCs/>
          <w:iCs/>
        </w:rPr>
        <w:t xml:space="preserve"> внутрь, </w:t>
      </w:r>
      <w:r w:rsidR="00F03B45" w:rsidRPr="000A2F50">
        <w:rPr>
          <w:bCs/>
          <w:iCs/>
        </w:rPr>
        <w:t>соответствовала</w:t>
      </w:r>
      <w:r w:rsidRPr="000A2F50">
        <w:rPr>
          <w:bCs/>
          <w:iCs/>
        </w:rPr>
        <w:t xml:space="preserve"> экспозициям,</w:t>
      </w:r>
      <w:r w:rsidR="008B4F55" w:rsidRPr="000A2F50">
        <w:rPr>
          <w:bCs/>
          <w:iCs/>
        </w:rPr>
        <w:t xml:space="preserve"> к</w:t>
      </w:r>
      <w:r w:rsidRPr="000A2F50">
        <w:rPr>
          <w:bCs/>
          <w:iCs/>
        </w:rPr>
        <w:t>оторые был</w:t>
      </w:r>
      <w:r w:rsidR="001C5BEC" w:rsidRPr="000A2F50">
        <w:rPr>
          <w:bCs/>
          <w:iCs/>
        </w:rPr>
        <w:t>и</w:t>
      </w:r>
      <w:r w:rsidRPr="000A2F50">
        <w:rPr>
          <w:bCs/>
          <w:iCs/>
        </w:rPr>
        <w:t xml:space="preserve"> достигнуты у взрослых, получавших разовые суточные дозы 300</w:t>
      </w:r>
      <w:r w:rsidR="000C4B3C" w:rsidRPr="000A2F50">
        <w:rPr>
          <w:bCs/>
          <w:iCs/>
        </w:rPr>
        <w:t> </w:t>
      </w:r>
      <w:r w:rsidRPr="000A2F50">
        <w:rPr>
          <w:bCs/>
          <w:iCs/>
        </w:rPr>
        <w:t>мг</w:t>
      </w:r>
      <w:r w:rsidR="008B4F55" w:rsidRPr="000A2F50">
        <w:rPr>
          <w:bCs/>
          <w:iCs/>
        </w:rPr>
        <w:t xml:space="preserve"> т</w:t>
      </w:r>
      <w:r w:rsidRPr="000A2F50">
        <w:rPr>
          <w:bCs/>
          <w:iCs/>
        </w:rPr>
        <w:t>енофовира дизопроксила фумарата.</w:t>
      </w:r>
    </w:p>
    <w:p w14:paraId="421A7278" w14:textId="77777777" w:rsidR="00015D6C" w:rsidRPr="000F1E0A" w:rsidRDefault="00015D6C" w:rsidP="00A77E51">
      <w:pPr>
        <w:spacing w:line="360" w:lineRule="auto"/>
        <w:jc w:val="both"/>
        <w:rPr>
          <w:bCs/>
          <w:iCs/>
        </w:rPr>
      </w:pPr>
      <w:r w:rsidRPr="000F1E0A">
        <w:rPr>
          <w:bCs/>
          <w:i/>
          <w:iCs/>
        </w:rPr>
        <w:t>Хронический гепатит</w:t>
      </w:r>
      <w:r w:rsidR="000F1E0A" w:rsidRPr="000F1E0A">
        <w:rPr>
          <w:bCs/>
          <w:i/>
          <w:iCs/>
        </w:rPr>
        <w:t> </w:t>
      </w:r>
      <w:r w:rsidRPr="000F1E0A">
        <w:rPr>
          <w:bCs/>
          <w:i/>
          <w:iCs/>
        </w:rPr>
        <w:t>В:</w:t>
      </w:r>
      <w:r w:rsidRPr="000F1E0A">
        <w:rPr>
          <w:bCs/>
          <w:iCs/>
        </w:rPr>
        <w:t xml:space="preserve"> Равновесная экспозиция тенофовира у детей (возраст от 12 до </w:t>
      </w:r>
      <w:r w:rsidR="00BF014E" w:rsidRPr="000F1E0A">
        <w:rPr>
          <w:bCs/>
          <w:iCs/>
        </w:rPr>
        <w:t>18 </w:t>
      </w:r>
      <w:r w:rsidR="008B4F55" w:rsidRPr="000F1E0A">
        <w:rPr>
          <w:bCs/>
          <w:iCs/>
        </w:rPr>
        <w:t>л</w:t>
      </w:r>
      <w:r w:rsidRPr="000F1E0A">
        <w:rPr>
          <w:bCs/>
          <w:iCs/>
        </w:rPr>
        <w:t xml:space="preserve">ет), инфицированных </w:t>
      </w:r>
      <w:r w:rsidR="00BE4DBB" w:rsidRPr="000F1E0A">
        <w:rPr>
          <w:bCs/>
          <w:iCs/>
        </w:rPr>
        <w:t>ВГ</w:t>
      </w:r>
      <w:r w:rsidRPr="000F1E0A">
        <w:rPr>
          <w:bCs/>
          <w:iCs/>
        </w:rPr>
        <w:t>В, которые получали суточную дозу</w:t>
      </w:r>
      <w:r w:rsidR="008B4F55" w:rsidRPr="000F1E0A">
        <w:rPr>
          <w:bCs/>
          <w:iCs/>
        </w:rPr>
        <w:t xml:space="preserve"> </w:t>
      </w:r>
      <w:r w:rsidRPr="000F1E0A">
        <w:rPr>
          <w:bCs/>
          <w:iCs/>
        </w:rPr>
        <w:t>300</w:t>
      </w:r>
      <w:r w:rsidR="000C4B3C" w:rsidRPr="000F1E0A">
        <w:rPr>
          <w:bCs/>
          <w:iCs/>
        </w:rPr>
        <w:t> </w:t>
      </w:r>
      <w:r w:rsidRPr="000F1E0A">
        <w:rPr>
          <w:bCs/>
          <w:iCs/>
        </w:rPr>
        <w:t>мг тенофовира дизопроксила фумарата</w:t>
      </w:r>
      <w:r w:rsidR="00F03B45" w:rsidRPr="000F1E0A">
        <w:rPr>
          <w:bCs/>
          <w:iCs/>
        </w:rPr>
        <w:t xml:space="preserve"> внутрь</w:t>
      </w:r>
      <w:r w:rsidR="000C4B3C" w:rsidRPr="000F1E0A">
        <w:rPr>
          <w:bCs/>
          <w:iCs/>
        </w:rPr>
        <w:t>,</w:t>
      </w:r>
      <w:r w:rsidRPr="000F1E0A">
        <w:rPr>
          <w:bCs/>
          <w:iCs/>
        </w:rPr>
        <w:t xml:space="preserve"> </w:t>
      </w:r>
      <w:r w:rsidR="00F03B45" w:rsidRPr="000F1E0A">
        <w:rPr>
          <w:bCs/>
          <w:iCs/>
        </w:rPr>
        <w:t>соответствовала</w:t>
      </w:r>
      <w:r w:rsidRPr="000F1E0A">
        <w:rPr>
          <w:bCs/>
          <w:iCs/>
        </w:rPr>
        <w:t xml:space="preserve"> экспозициям, </w:t>
      </w:r>
      <w:r w:rsidR="00F03B45" w:rsidRPr="000F1E0A">
        <w:rPr>
          <w:bCs/>
          <w:iCs/>
        </w:rPr>
        <w:t xml:space="preserve">которые были достигнуты </w:t>
      </w:r>
      <w:r w:rsidRPr="000F1E0A">
        <w:rPr>
          <w:bCs/>
          <w:iCs/>
        </w:rPr>
        <w:t>у</w:t>
      </w:r>
      <w:r w:rsidR="008B4F55" w:rsidRPr="000F1E0A">
        <w:rPr>
          <w:bCs/>
          <w:iCs/>
        </w:rPr>
        <w:t xml:space="preserve"> в</w:t>
      </w:r>
      <w:r w:rsidRPr="000F1E0A">
        <w:rPr>
          <w:bCs/>
          <w:iCs/>
        </w:rPr>
        <w:t xml:space="preserve">зрослых, </w:t>
      </w:r>
      <w:r w:rsidR="00F03B45" w:rsidRPr="000F1E0A">
        <w:rPr>
          <w:bCs/>
          <w:iCs/>
        </w:rPr>
        <w:t xml:space="preserve">получавших разовые суточные </w:t>
      </w:r>
      <w:r w:rsidR="008B4F55" w:rsidRPr="000F1E0A">
        <w:rPr>
          <w:bCs/>
          <w:iCs/>
        </w:rPr>
        <w:t>дозы 300</w:t>
      </w:r>
      <w:r w:rsidR="000C4B3C" w:rsidRPr="000F1E0A">
        <w:rPr>
          <w:bCs/>
          <w:iCs/>
        </w:rPr>
        <w:t> </w:t>
      </w:r>
      <w:r w:rsidR="008B4F55" w:rsidRPr="000F1E0A">
        <w:rPr>
          <w:bCs/>
          <w:iCs/>
        </w:rPr>
        <w:t>мг тенофов</w:t>
      </w:r>
      <w:r w:rsidRPr="000F1E0A">
        <w:rPr>
          <w:bCs/>
          <w:iCs/>
        </w:rPr>
        <w:t>ира дизопроксила фумарата.</w:t>
      </w:r>
    </w:p>
    <w:p w14:paraId="0BA6371F" w14:textId="77777777" w:rsidR="00015D6C" w:rsidRPr="000F1E0A" w:rsidRDefault="00015D6C" w:rsidP="00A77E51">
      <w:pPr>
        <w:spacing w:line="360" w:lineRule="auto"/>
        <w:jc w:val="both"/>
        <w:rPr>
          <w:bCs/>
          <w:iCs/>
        </w:rPr>
      </w:pPr>
      <w:r w:rsidRPr="000F1E0A">
        <w:rPr>
          <w:bCs/>
          <w:iCs/>
        </w:rPr>
        <w:t>У детей младше 12</w:t>
      </w:r>
      <w:r w:rsidR="00BB2B5B" w:rsidRPr="000F1E0A">
        <w:rPr>
          <w:bCs/>
          <w:iCs/>
        </w:rPr>
        <w:t> </w:t>
      </w:r>
      <w:r w:rsidRPr="000F1E0A">
        <w:rPr>
          <w:bCs/>
          <w:iCs/>
        </w:rPr>
        <w:t>лет или у детей с нарушением функции почек исследования</w:t>
      </w:r>
      <w:r w:rsidR="008B4F55" w:rsidRPr="000F1E0A">
        <w:rPr>
          <w:bCs/>
          <w:iCs/>
        </w:rPr>
        <w:t xml:space="preserve"> ф</w:t>
      </w:r>
      <w:r w:rsidRPr="000F1E0A">
        <w:rPr>
          <w:bCs/>
          <w:iCs/>
        </w:rPr>
        <w:t>армакокинетики 300</w:t>
      </w:r>
      <w:r w:rsidR="00BB2B5B" w:rsidRPr="000F1E0A">
        <w:rPr>
          <w:bCs/>
          <w:iCs/>
        </w:rPr>
        <w:t> </w:t>
      </w:r>
      <w:r w:rsidRPr="000F1E0A">
        <w:rPr>
          <w:bCs/>
          <w:iCs/>
        </w:rPr>
        <w:t>мг тенофовира дизопроксила фумарата не проводились.</w:t>
      </w:r>
    </w:p>
    <w:p w14:paraId="029D455B" w14:textId="77777777" w:rsidR="00365F61" w:rsidRPr="000F1E0A" w:rsidRDefault="00365F61" w:rsidP="00A77E51">
      <w:pPr>
        <w:spacing w:line="360" w:lineRule="auto"/>
        <w:jc w:val="both"/>
        <w:rPr>
          <w:bCs/>
          <w:i/>
          <w:iCs/>
        </w:rPr>
      </w:pPr>
      <w:r w:rsidRPr="000F1E0A">
        <w:rPr>
          <w:bCs/>
          <w:i/>
          <w:iCs/>
        </w:rPr>
        <w:t>П</w:t>
      </w:r>
      <w:r w:rsidR="00430988" w:rsidRPr="000F1E0A">
        <w:rPr>
          <w:bCs/>
          <w:i/>
          <w:iCs/>
        </w:rPr>
        <w:t>ациенты п</w:t>
      </w:r>
      <w:r w:rsidRPr="000F1E0A">
        <w:rPr>
          <w:bCs/>
          <w:i/>
          <w:iCs/>
        </w:rPr>
        <w:t>ожил</w:t>
      </w:r>
      <w:r w:rsidR="00430988" w:rsidRPr="000F1E0A">
        <w:rPr>
          <w:bCs/>
          <w:i/>
          <w:iCs/>
        </w:rPr>
        <w:t>ого</w:t>
      </w:r>
      <w:r w:rsidRPr="000F1E0A">
        <w:rPr>
          <w:bCs/>
          <w:i/>
          <w:iCs/>
        </w:rPr>
        <w:t xml:space="preserve"> </w:t>
      </w:r>
      <w:r w:rsidR="00430988" w:rsidRPr="000F1E0A">
        <w:rPr>
          <w:bCs/>
          <w:i/>
          <w:iCs/>
        </w:rPr>
        <w:t>возраста</w:t>
      </w:r>
    </w:p>
    <w:p w14:paraId="667A6429" w14:textId="77777777" w:rsidR="00365F61" w:rsidRPr="000F1E0A" w:rsidRDefault="00365F61" w:rsidP="00A77E51">
      <w:pPr>
        <w:spacing w:line="360" w:lineRule="auto"/>
        <w:jc w:val="both"/>
        <w:rPr>
          <w:bCs/>
          <w:iCs/>
        </w:rPr>
      </w:pPr>
      <w:r w:rsidRPr="000F1E0A">
        <w:rPr>
          <w:bCs/>
          <w:iCs/>
        </w:rPr>
        <w:t>Фармакокинетика тенофовира у пожилых пациентов (старше 65</w:t>
      </w:r>
      <w:r w:rsidR="00BB2B5B" w:rsidRPr="000F1E0A">
        <w:rPr>
          <w:bCs/>
          <w:iCs/>
        </w:rPr>
        <w:t> </w:t>
      </w:r>
      <w:r w:rsidRPr="000F1E0A">
        <w:rPr>
          <w:bCs/>
          <w:iCs/>
        </w:rPr>
        <w:t>лет) не изучалась.</w:t>
      </w:r>
    </w:p>
    <w:p w14:paraId="00616A45" w14:textId="77777777" w:rsidR="00365F61" w:rsidRPr="000F1E0A" w:rsidRDefault="00365F61" w:rsidP="00A77E51">
      <w:pPr>
        <w:spacing w:line="360" w:lineRule="auto"/>
        <w:jc w:val="both"/>
        <w:rPr>
          <w:bCs/>
          <w:i/>
          <w:iCs/>
        </w:rPr>
      </w:pPr>
      <w:r w:rsidRPr="000F1E0A">
        <w:rPr>
          <w:bCs/>
          <w:i/>
          <w:iCs/>
        </w:rPr>
        <w:t>Пол</w:t>
      </w:r>
    </w:p>
    <w:p w14:paraId="3436765D" w14:textId="77777777" w:rsidR="00365F61" w:rsidRPr="000F1E0A" w:rsidRDefault="00365F61" w:rsidP="00A77E51">
      <w:pPr>
        <w:spacing w:line="360" w:lineRule="auto"/>
        <w:jc w:val="both"/>
        <w:rPr>
          <w:bCs/>
          <w:iCs/>
        </w:rPr>
      </w:pPr>
      <w:r w:rsidRPr="000F1E0A">
        <w:rPr>
          <w:bCs/>
          <w:iCs/>
        </w:rPr>
        <w:t xml:space="preserve">Ограниченные данные по фармакокинетике тенофовира у женщин указывают на отсутствие </w:t>
      </w:r>
      <w:r w:rsidR="00430988" w:rsidRPr="000F1E0A">
        <w:rPr>
          <w:bCs/>
          <w:iCs/>
        </w:rPr>
        <w:t>существенной зависимости от пола</w:t>
      </w:r>
      <w:r w:rsidRPr="000F1E0A">
        <w:rPr>
          <w:bCs/>
          <w:iCs/>
        </w:rPr>
        <w:t>.</w:t>
      </w:r>
    </w:p>
    <w:p w14:paraId="2867A874" w14:textId="77777777" w:rsidR="00365F61" w:rsidRPr="000F1E0A" w:rsidRDefault="00365F61" w:rsidP="00A77E51">
      <w:pPr>
        <w:spacing w:line="360" w:lineRule="auto"/>
        <w:jc w:val="both"/>
        <w:rPr>
          <w:bCs/>
          <w:i/>
          <w:iCs/>
        </w:rPr>
      </w:pPr>
      <w:r w:rsidRPr="000F1E0A">
        <w:rPr>
          <w:bCs/>
          <w:i/>
          <w:iCs/>
        </w:rPr>
        <w:t>Раса</w:t>
      </w:r>
    </w:p>
    <w:p w14:paraId="2BB623C3" w14:textId="77777777" w:rsidR="00365F61" w:rsidRPr="000F1E0A" w:rsidRDefault="00365F61" w:rsidP="00A77E51">
      <w:pPr>
        <w:spacing w:line="360" w:lineRule="auto"/>
        <w:jc w:val="both"/>
        <w:rPr>
          <w:bCs/>
          <w:i/>
          <w:iCs/>
        </w:rPr>
      </w:pPr>
      <w:r w:rsidRPr="000F1E0A">
        <w:rPr>
          <w:bCs/>
          <w:iCs/>
        </w:rPr>
        <w:t>Не проводилось специфических исследований фармакокинетики у различных этнических групп.</w:t>
      </w:r>
    </w:p>
    <w:p w14:paraId="0586BD78" w14:textId="77777777" w:rsidR="00015D6C" w:rsidRPr="003F64F5" w:rsidRDefault="00430988" w:rsidP="00A77E51">
      <w:pPr>
        <w:spacing w:line="360" w:lineRule="auto"/>
        <w:jc w:val="both"/>
        <w:rPr>
          <w:bCs/>
          <w:i/>
          <w:iCs/>
        </w:rPr>
      </w:pPr>
      <w:r w:rsidRPr="003F64F5">
        <w:rPr>
          <w:bCs/>
          <w:i/>
          <w:iCs/>
        </w:rPr>
        <w:t>Пац</w:t>
      </w:r>
      <w:r w:rsidR="00407A00" w:rsidRPr="003F64F5">
        <w:rPr>
          <w:bCs/>
          <w:i/>
          <w:iCs/>
        </w:rPr>
        <w:t>и</w:t>
      </w:r>
      <w:r w:rsidRPr="003F64F5">
        <w:rPr>
          <w:bCs/>
          <w:i/>
          <w:iCs/>
        </w:rPr>
        <w:t>енты с н</w:t>
      </w:r>
      <w:r w:rsidR="00015D6C" w:rsidRPr="003F64F5">
        <w:rPr>
          <w:bCs/>
          <w:i/>
          <w:iCs/>
        </w:rPr>
        <w:t>арушение</w:t>
      </w:r>
      <w:r w:rsidRPr="003F64F5">
        <w:rPr>
          <w:bCs/>
          <w:i/>
          <w:iCs/>
        </w:rPr>
        <w:t>м</w:t>
      </w:r>
      <w:r w:rsidR="00015D6C" w:rsidRPr="003F64F5">
        <w:rPr>
          <w:bCs/>
          <w:i/>
          <w:iCs/>
        </w:rPr>
        <w:t xml:space="preserve"> функции почек</w:t>
      </w:r>
    </w:p>
    <w:p w14:paraId="1D1F5EF7" w14:textId="77777777" w:rsidR="00015D6C" w:rsidRPr="003F64F5" w:rsidRDefault="008B4F55" w:rsidP="00A77E51">
      <w:pPr>
        <w:spacing w:line="360" w:lineRule="auto"/>
        <w:jc w:val="both"/>
        <w:rPr>
          <w:bCs/>
          <w:iCs/>
        </w:rPr>
      </w:pPr>
      <w:r w:rsidRPr="003F64F5">
        <w:rPr>
          <w:bCs/>
          <w:iCs/>
        </w:rPr>
        <w:t>Парам</w:t>
      </w:r>
      <w:r w:rsidR="00015D6C" w:rsidRPr="003F64F5">
        <w:rPr>
          <w:bCs/>
          <w:iCs/>
        </w:rPr>
        <w:t>етры фармакокинетики тенофовира определя</w:t>
      </w:r>
      <w:r w:rsidRPr="003F64F5">
        <w:rPr>
          <w:bCs/>
          <w:iCs/>
        </w:rPr>
        <w:t>лись после введения разовой дозы 300 </w:t>
      </w:r>
      <w:r w:rsidR="00015D6C" w:rsidRPr="003F64F5">
        <w:rPr>
          <w:bCs/>
          <w:iCs/>
        </w:rPr>
        <w:t>мг</w:t>
      </w:r>
      <w:r w:rsidRPr="003F64F5">
        <w:rPr>
          <w:bCs/>
          <w:iCs/>
        </w:rPr>
        <w:t xml:space="preserve"> т</w:t>
      </w:r>
      <w:r w:rsidR="00015D6C" w:rsidRPr="003F64F5">
        <w:rPr>
          <w:bCs/>
          <w:iCs/>
        </w:rPr>
        <w:t>енофовира дизопроксила фумарата 40</w:t>
      </w:r>
      <w:r w:rsidR="00BB2B5B" w:rsidRPr="003F64F5">
        <w:rPr>
          <w:bCs/>
          <w:iCs/>
        </w:rPr>
        <w:t> </w:t>
      </w:r>
      <w:r w:rsidR="00015D6C" w:rsidRPr="003F64F5">
        <w:rPr>
          <w:bCs/>
          <w:iCs/>
        </w:rPr>
        <w:t>взрослым пациентам, не имеющим инфекции ВИЧ и</w:t>
      </w:r>
      <w:r w:rsidRPr="003F64F5">
        <w:rPr>
          <w:bCs/>
          <w:iCs/>
        </w:rPr>
        <w:t xml:space="preserve"> </w:t>
      </w:r>
      <w:r w:rsidR="00015D6C" w:rsidRPr="003F64F5">
        <w:rPr>
          <w:bCs/>
          <w:iCs/>
        </w:rPr>
        <w:t>ВГВ</w:t>
      </w:r>
      <w:r w:rsidR="009953B8">
        <w:rPr>
          <w:bCs/>
          <w:iCs/>
        </w:rPr>
        <w:t>,</w:t>
      </w:r>
      <w:r w:rsidR="00015D6C" w:rsidRPr="003F64F5">
        <w:rPr>
          <w:bCs/>
          <w:iCs/>
        </w:rPr>
        <w:t xml:space="preserve"> с нарушением функции почек различной степени, которые определялись</w:t>
      </w:r>
      <w:r w:rsidRPr="003F64F5">
        <w:rPr>
          <w:bCs/>
          <w:iCs/>
        </w:rPr>
        <w:t xml:space="preserve"> с</w:t>
      </w:r>
      <w:r w:rsidR="00015D6C" w:rsidRPr="003F64F5">
        <w:rPr>
          <w:bCs/>
          <w:iCs/>
        </w:rPr>
        <w:t>оответственно исходному значению клиренса креатинина (КК)</w:t>
      </w:r>
      <w:r w:rsidR="009953B8">
        <w:rPr>
          <w:bCs/>
          <w:iCs/>
        </w:rPr>
        <w:t xml:space="preserve">: </w:t>
      </w:r>
      <w:r w:rsidR="00015D6C" w:rsidRPr="003F64F5">
        <w:rPr>
          <w:bCs/>
          <w:iCs/>
        </w:rPr>
        <w:t>функция почек не нарушена,</w:t>
      </w:r>
      <w:r w:rsidRPr="003F64F5">
        <w:rPr>
          <w:bCs/>
          <w:iCs/>
        </w:rPr>
        <w:t xml:space="preserve"> е</w:t>
      </w:r>
      <w:r w:rsidR="00015D6C" w:rsidRPr="003F64F5">
        <w:rPr>
          <w:bCs/>
          <w:iCs/>
        </w:rPr>
        <w:t>сли КК</w:t>
      </w:r>
      <w:r w:rsidR="00BE4DBB" w:rsidRPr="003F64F5">
        <w:rPr>
          <w:bCs/>
          <w:iCs/>
        </w:rPr>
        <w:t> </w:t>
      </w:r>
      <w:r w:rsidR="00015D6C" w:rsidRPr="003F64F5">
        <w:rPr>
          <w:bCs/>
          <w:iCs/>
        </w:rPr>
        <w:t>&gt;80</w:t>
      </w:r>
      <w:r w:rsidR="00BB2B5B" w:rsidRPr="003F64F5">
        <w:rPr>
          <w:bCs/>
          <w:iCs/>
        </w:rPr>
        <w:t> </w:t>
      </w:r>
      <w:r w:rsidR="00015D6C" w:rsidRPr="003F64F5">
        <w:rPr>
          <w:bCs/>
          <w:iCs/>
        </w:rPr>
        <w:t xml:space="preserve">мл/мин, легкое нарушение </w:t>
      </w:r>
      <w:r w:rsidR="00284117" w:rsidRPr="003F64F5">
        <w:rPr>
          <w:bCs/>
          <w:iCs/>
        </w:rPr>
        <w:noBreakHyphen/>
      </w:r>
      <w:r w:rsidR="00015D6C" w:rsidRPr="003F64F5">
        <w:rPr>
          <w:bCs/>
          <w:iCs/>
        </w:rPr>
        <w:t xml:space="preserve"> если КК составляет </w:t>
      </w:r>
      <w:r w:rsidR="00BB2B5B" w:rsidRPr="003F64F5">
        <w:rPr>
          <w:bCs/>
          <w:iCs/>
        </w:rPr>
        <w:br/>
      </w:r>
      <w:r w:rsidR="00015D6C" w:rsidRPr="003F64F5">
        <w:rPr>
          <w:bCs/>
          <w:iCs/>
        </w:rPr>
        <w:t>50-79</w:t>
      </w:r>
      <w:r w:rsidRPr="003F64F5">
        <w:rPr>
          <w:bCs/>
          <w:iCs/>
        </w:rPr>
        <w:t> </w:t>
      </w:r>
      <w:r w:rsidR="00015D6C" w:rsidRPr="003F64F5">
        <w:rPr>
          <w:bCs/>
          <w:iCs/>
        </w:rPr>
        <w:t>мл/мин, умеренно</w:t>
      </w:r>
      <w:r w:rsidRPr="003F64F5">
        <w:rPr>
          <w:bCs/>
          <w:iCs/>
        </w:rPr>
        <w:t xml:space="preserve"> в</w:t>
      </w:r>
      <w:r w:rsidR="00015D6C" w:rsidRPr="003F64F5">
        <w:rPr>
          <w:bCs/>
          <w:iCs/>
        </w:rPr>
        <w:t xml:space="preserve">ыраженное нарушение </w:t>
      </w:r>
      <w:r w:rsidR="00284117" w:rsidRPr="003F64F5">
        <w:rPr>
          <w:bCs/>
          <w:iCs/>
        </w:rPr>
        <w:noBreakHyphen/>
      </w:r>
      <w:r w:rsidR="00015D6C" w:rsidRPr="003F64F5">
        <w:rPr>
          <w:bCs/>
          <w:iCs/>
        </w:rPr>
        <w:t xml:space="preserve"> при КК 30-49</w:t>
      </w:r>
      <w:r w:rsidR="00BB2B5B" w:rsidRPr="003F64F5">
        <w:rPr>
          <w:bCs/>
          <w:iCs/>
        </w:rPr>
        <w:t> </w:t>
      </w:r>
      <w:r w:rsidR="00015D6C" w:rsidRPr="003F64F5">
        <w:rPr>
          <w:bCs/>
          <w:iCs/>
        </w:rPr>
        <w:t xml:space="preserve">мл/мин и тяжелое нарушение </w:t>
      </w:r>
      <w:r w:rsidR="00284117" w:rsidRPr="003F64F5">
        <w:rPr>
          <w:bCs/>
          <w:iCs/>
        </w:rPr>
        <w:noBreakHyphen/>
      </w:r>
      <w:r w:rsidR="00015D6C" w:rsidRPr="003F64F5">
        <w:rPr>
          <w:bCs/>
          <w:iCs/>
        </w:rPr>
        <w:t xml:space="preserve"> при КК</w:t>
      </w:r>
      <w:r w:rsidRPr="003F64F5">
        <w:rPr>
          <w:bCs/>
          <w:iCs/>
        </w:rPr>
        <w:t xml:space="preserve"> </w:t>
      </w:r>
      <w:r w:rsidR="00015D6C" w:rsidRPr="003F64F5">
        <w:rPr>
          <w:bCs/>
          <w:iCs/>
        </w:rPr>
        <w:t>10-29</w:t>
      </w:r>
      <w:r w:rsidR="00BB2B5B" w:rsidRPr="003F64F5">
        <w:rPr>
          <w:bCs/>
          <w:iCs/>
        </w:rPr>
        <w:t> </w:t>
      </w:r>
      <w:r w:rsidR="00015D6C" w:rsidRPr="003F64F5">
        <w:rPr>
          <w:bCs/>
          <w:iCs/>
        </w:rPr>
        <w:t>мл/мин. По сравнению с пациентами с нормальной функцией почек средняя (%</w:t>
      </w:r>
      <w:r w:rsidR="00BE4DBB" w:rsidRPr="003F64F5">
        <w:rPr>
          <w:bCs/>
          <w:iCs/>
        </w:rPr>
        <w:t> </w:t>
      </w:r>
      <w:r w:rsidR="00015D6C" w:rsidRPr="003F64F5">
        <w:rPr>
          <w:bCs/>
          <w:iCs/>
        </w:rPr>
        <w:t>С</w:t>
      </w:r>
      <w:r w:rsidRPr="003F64F5">
        <w:rPr>
          <w:bCs/>
          <w:iCs/>
          <w:lang w:val="en-US"/>
        </w:rPr>
        <w:t>V</w:t>
      </w:r>
      <w:r w:rsidR="00015D6C" w:rsidRPr="003F64F5">
        <w:rPr>
          <w:bCs/>
          <w:iCs/>
        </w:rPr>
        <w:t>)</w:t>
      </w:r>
      <w:r w:rsidRPr="003F64F5">
        <w:rPr>
          <w:bCs/>
          <w:iCs/>
        </w:rPr>
        <w:t xml:space="preserve"> э</w:t>
      </w:r>
      <w:r w:rsidR="00015D6C" w:rsidRPr="003F64F5">
        <w:rPr>
          <w:bCs/>
          <w:iCs/>
        </w:rPr>
        <w:t>кспозиция тенофовира увеличилась с 2185</w:t>
      </w:r>
      <w:r w:rsidR="00BE4DBB" w:rsidRPr="003F64F5">
        <w:rPr>
          <w:bCs/>
          <w:iCs/>
        </w:rPr>
        <w:t> </w:t>
      </w:r>
      <w:r w:rsidR="00015D6C" w:rsidRPr="003F64F5">
        <w:rPr>
          <w:bCs/>
          <w:iCs/>
        </w:rPr>
        <w:t>(12</w:t>
      </w:r>
      <w:r w:rsidR="00BB2B5B" w:rsidRPr="003F64F5">
        <w:rPr>
          <w:bCs/>
          <w:iCs/>
        </w:rPr>
        <w:t> </w:t>
      </w:r>
      <w:r w:rsidR="00015D6C" w:rsidRPr="003F64F5">
        <w:rPr>
          <w:bCs/>
          <w:iCs/>
        </w:rPr>
        <w:t>%)</w:t>
      </w:r>
      <w:r w:rsidR="00BE4DBB" w:rsidRPr="003F64F5">
        <w:rPr>
          <w:bCs/>
          <w:iCs/>
        </w:rPr>
        <w:t> </w:t>
      </w:r>
      <w:r w:rsidRPr="003F64F5">
        <w:rPr>
          <w:bCs/>
          <w:iCs/>
        </w:rPr>
        <w:t>нг</w:t>
      </w:r>
      <w:r w:rsidR="00704504" w:rsidRPr="003F64F5">
        <w:rPr>
          <w:bCs/>
          <w:iCs/>
        </w:rPr>
        <w:t>×</w:t>
      </w:r>
      <w:r w:rsidR="00015D6C" w:rsidRPr="003F64F5">
        <w:rPr>
          <w:bCs/>
          <w:iCs/>
        </w:rPr>
        <w:t xml:space="preserve">ч/мл </w:t>
      </w:r>
      <w:r w:rsidRPr="003F64F5">
        <w:rPr>
          <w:bCs/>
          <w:iCs/>
        </w:rPr>
        <w:t>у</w:t>
      </w:r>
      <w:r w:rsidR="00015D6C" w:rsidRPr="003F64F5">
        <w:rPr>
          <w:bCs/>
          <w:iCs/>
        </w:rPr>
        <w:t xml:space="preserve"> лиц с КК</w:t>
      </w:r>
      <w:r w:rsidR="00BE4DBB" w:rsidRPr="003F64F5">
        <w:rPr>
          <w:bCs/>
          <w:iCs/>
        </w:rPr>
        <w:t> </w:t>
      </w:r>
      <w:r w:rsidR="00015D6C" w:rsidRPr="003F64F5">
        <w:rPr>
          <w:bCs/>
          <w:iCs/>
        </w:rPr>
        <w:t>&gt;80</w:t>
      </w:r>
      <w:r w:rsidR="00BB2B5B" w:rsidRPr="003F64F5">
        <w:rPr>
          <w:bCs/>
          <w:iCs/>
        </w:rPr>
        <w:t> </w:t>
      </w:r>
      <w:r w:rsidR="00015D6C" w:rsidRPr="003F64F5">
        <w:rPr>
          <w:bCs/>
          <w:iCs/>
        </w:rPr>
        <w:t>мл/мин до,</w:t>
      </w:r>
      <w:r w:rsidRPr="003F64F5">
        <w:rPr>
          <w:bCs/>
          <w:iCs/>
        </w:rPr>
        <w:t xml:space="preserve"> с</w:t>
      </w:r>
      <w:r w:rsidR="00015D6C" w:rsidRPr="003F64F5">
        <w:rPr>
          <w:bCs/>
          <w:iCs/>
        </w:rPr>
        <w:t>оответственно, 3064</w:t>
      </w:r>
      <w:r w:rsidR="00BE4DBB" w:rsidRPr="003F64F5">
        <w:rPr>
          <w:bCs/>
          <w:iCs/>
        </w:rPr>
        <w:t> </w:t>
      </w:r>
      <w:r w:rsidR="00015D6C" w:rsidRPr="003F64F5">
        <w:rPr>
          <w:bCs/>
          <w:iCs/>
        </w:rPr>
        <w:t>(30</w:t>
      </w:r>
      <w:r w:rsidR="00BB2B5B" w:rsidRPr="003F64F5">
        <w:rPr>
          <w:bCs/>
          <w:iCs/>
        </w:rPr>
        <w:t> </w:t>
      </w:r>
      <w:r w:rsidR="00015D6C" w:rsidRPr="003F64F5">
        <w:rPr>
          <w:bCs/>
          <w:iCs/>
        </w:rPr>
        <w:t>%)</w:t>
      </w:r>
      <w:r w:rsidR="00BE4DBB" w:rsidRPr="003F64F5">
        <w:rPr>
          <w:bCs/>
          <w:iCs/>
        </w:rPr>
        <w:t> </w:t>
      </w:r>
      <w:r w:rsidRPr="003F64F5">
        <w:rPr>
          <w:bCs/>
          <w:iCs/>
        </w:rPr>
        <w:t>нг</w:t>
      </w:r>
      <w:r w:rsidR="00704504" w:rsidRPr="003F64F5">
        <w:rPr>
          <w:bCs/>
          <w:iCs/>
        </w:rPr>
        <w:t>×</w:t>
      </w:r>
      <w:r w:rsidRPr="003F64F5">
        <w:rPr>
          <w:bCs/>
          <w:iCs/>
        </w:rPr>
        <w:t>ч/мл</w:t>
      </w:r>
      <w:r w:rsidR="00015D6C" w:rsidRPr="003F64F5">
        <w:rPr>
          <w:bCs/>
          <w:iCs/>
        </w:rPr>
        <w:t>, 6009</w:t>
      </w:r>
      <w:r w:rsidR="00BE4DBB" w:rsidRPr="003F64F5">
        <w:rPr>
          <w:bCs/>
          <w:iCs/>
        </w:rPr>
        <w:t> </w:t>
      </w:r>
      <w:r w:rsidR="00015D6C" w:rsidRPr="003F64F5">
        <w:rPr>
          <w:bCs/>
          <w:iCs/>
        </w:rPr>
        <w:t>(42</w:t>
      </w:r>
      <w:r w:rsidR="00BB2B5B" w:rsidRPr="003F64F5">
        <w:rPr>
          <w:bCs/>
          <w:iCs/>
        </w:rPr>
        <w:t> </w:t>
      </w:r>
      <w:r w:rsidR="00015D6C" w:rsidRPr="003F64F5">
        <w:rPr>
          <w:bCs/>
          <w:iCs/>
        </w:rPr>
        <w:t>%)</w:t>
      </w:r>
      <w:r w:rsidR="00BE4DBB" w:rsidRPr="003F64F5">
        <w:rPr>
          <w:bCs/>
          <w:iCs/>
        </w:rPr>
        <w:t> </w:t>
      </w:r>
      <w:r w:rsidRPr="003F64F5">
        <w:rPr>
          <w:bCs/>
          <w:iCs/>
        </w:rPr>
        <w:t>нг</w:t>
      </w:r>
      <w:r w:rsidR="00704504" w:rsidRPr="003F64F5">
        <w:rPr>
          <w:bCs/>
          <w:iCs/>
        </w:rPr>
        <w:t>×</w:t>
      </w:r>
      <w:r w:rsidRPr="003F64F5">
        <w:rPr>
          <w:bCs/>
          <w:iCs/>
        </w:rPr>
        <w:t>ч/мл</w:t>
      </w:r>
      <w:r w:rsidR="00015D6C" w:rsidRPr="003F64F5">
        <w:rPr>
          <w:bCs/>
          <w:iCs/>
        </w:rPr>
        <w:t xml:space="preserve"> и 15985</w:t>
      </w:r>
      <w:r w:rsidR="00BE4DBB" w:rsidRPr="003F64F5">
        <w:rPr>
          <w:bCs/>
          <w:iCs/>
        </w:rPr>
        <w:t> </w:t>
      </w:r>
      <w:r w:rsidR="00015D6C" w:rsidRPr="003F64F5">
        <w:rPr>
          <w:bCs/>
          <w:iCs/>
        </w:rPr>
        <w:t>(</w:t>
      </w:r>
      <w:r w:rsidR="00407A00" w:rsidRPr="003F64F5">
        <w:rPr>
          <w:bCs/>
          <w:iCs/>
        </w:rPr>
        <w:t>45 %) </w:t>
      </w:r>
      <w:r w:rsidRPr="003F64F5">
        <w:rPr>
          <w:bCs/>
          <w:iCs/>
        </w:rPr>
        <w:t>нг</w:t>
      </w:r>
      <w:r w:rsidR="00704504" w:rsidRPr="003F64F5">
        <w:rPr>
          <w:bCs/>
          <w:iCs/>
        </w:rPr>
        <w:t>×</w:t>
      </w:r>
      <w:r w:rsidRPr="003F64F5">
        <w:rPr>
          <w:bCs/>
          <w:iCs/>
        </w:rPr>
        <w:t>ч/мл у</w:t>
      </w:r>
      <w:r w:rsidR="00015D6C" w:rsidRPr="003F64F5">
        <w:rPr>
          <w:bCs/>
          <w:iCs/>
        </w:rPr>
        <w:t xml:space="preserve"> пациентов с легким, средним и тяжелым нарушением функции почек. </w:t>
      </w:r>
      <w:r w:rsidRPr="003F64F5">
        <w:rPr>
          <w:bCs/>
          <w:iCs/>
        </w:rPr>
        <w:t>О</w:t>
      </w:r>
      <w:r w:rsidR="00015D6C" w:rsidRPr="003F64F5">
        <w:rPr>
          <w:bCs/>
          <w:iCs/>
        </w:rPr>
        <w:t>жидается, что</w:t>
      </w:r>
      <w:r w:rsidRPr="003F64F5">
        <w:rPr>
          <w:bCs/>
          <w:iCs/>
        </w:rPr>
        <w:t xml:space="preserve"> у</w:t>
      </w:r>
      <w:r w:rsidR="00015D6C" w:rsidRPr="003F64F5">
        <w:rPr>
          <w:bCs/>
          <w:iCs/>
        </w:rPr>
        <w:t xml:space="preserve">величение интервала между введением препарата приведет к более </w:t>
      </w:r>
      <w:r w:rsidR="00015D6C" w:rsidRPr="003F64F5">
        <w:rPr>
          <w:bCs/>
          <w:iCs/>
        </w:rPr>
        <w:lastRenderedPageBreak/>
        <w:t>высоким пиковым</w:t>
      </w:r>
      <w:r w:rsidRPr="003F64F5">
        <w:rPr>
          <w:bCs/>
          <w:iCs/>
        </w:rPr>
        <w:t xml:space="preserve"> к</w:t>
      </w:r>
      <w:r w:rsidR="00015D6C" w:rsidRPr="003F64F5">
        <w:rPr>
          <w:bCs/>
          <w:iCs/>
        </w:rPr>
        <w:t>онцентрациям в плазме крови и меньшим уровням C</w:t>
      </w:r>
      <w:r w:rsidR="00015D6C" w:rsidRPr="003F64F5">
        <w:rPr>
          <w:bCs/>
          <w:iCs/>
          <w:vertAlign w:val="subscript"/>
        </w:rPr>
        <w:t>min</w:t>
      </w:r>
      <w:r w:rsidR="00015D6C" w:rsidRPr="003F64F5">
        <w:rPr>
          <w:bCs/>
          <w:iCs/>
        </w:rPr>
        <w:t xml:space="preserve"> </w:t>
      </w:r>
      <w:r w:rsidRPr="003F64F5">
        <w:rPr>
          <w:bCs/>
          <w:iCs/>
        </w:rPr>
        <w:t>у</w:t>
      </w:r>
      <w:r w:rsidR="00015D6C" w:rsidRPr="003F64F5">
        <w:rPr>
          <w:bCs/>
          <w:iCs/>
        </w:rPr>
        <w:t xml:space="preserve"> пациентов с нарушением функции</w:t>
      </w:r>
      <w:r w:rsidR="00097BDB" w:rsidRPr="003F64F5">
        <w:rPr>
          <w:bCs/>
          <w:iCs/>
        </w:rPr>
        <w:t xml:space="preserve"> п</w:t>
      </w:r>
      <w:r w:rsidR="00015D6C" w:rsidRPr="003F64F5">
        <w:rPr>
          <w:bCs/>
          <w:iCs/>
        </w:rPr>
        <w:t>очек по сравнению с пациентами, имею</w:t>
      </w:r>
      <w:r w:rsidR="00097BDB" w:rsidRPr="003F64F5">
        <w:rPr>
          <w:bCs/>
          <w:iCs/>
        </w:rPr>
        <w:t>щ</w:t>
      </w:r>
      <w:r w:rsidR="00015D6C" w:rsidRPr="003F64F5">
        <w:rPr>
          <w:bCs/>
          <w:iCs/>
        </w:rPr>
        <w:t>ими нормальную функцию почек. Клиническое</w:t>
      </w:r>
      <w:r w:rsidR="00097BDB" w:rsidRPr="003F64F5">
        <w:rPr>
          <w:bCs/>
          <w:iCs/>
        </w:rPr>
        <w:t xml:space="preserve"> з</w:t>
      </w:r>
      <w:r w:rsidR="00015D6C" w:rsidRPr="003F64F5">
        <w:rPr>
          <w:bCs/>
          <w:iCs/>
        </w:rPr>
        <w:t>нач</w:t>
      </w:r>
      <w:r w:rsidR="00097BDB" w:rsidRPr="003F64F5">
        <w:rPr>
          <w:bCs/>
          <w:iCs/>
        </w:rPr>
        <w:t>ение этого неи</w:t>
      </w:r>
      <w:r w:rsidR="00015D6C" w:rsidRPr="003F64F5">
        <w:rPr>
          <w:bCs/>
          <w:iCs/>
        </w:rPr>
        <w:t>звестно.</w:t>
      </w:r>
    </w:p>
    <w:p w14:paraId="578AF050" w14:textId="77777777" w:rsidR="00097BDB" w:rsidRPr="00D42490" w:rsidRDefault="00015D6C" w:rsidP="00A77E51">
      <w:pPr>
        <w:spacing w:line="360" w:lineRule="auto"/>
        <w:jc w:val="both"/>
        <w:rPr>
          <w:bCs/>
          <w:iCs/>
        </w:rPr>
      </w:pPr>
      <w:r w:rsidRPr="00D42490">
        <w:rPr>
          <w:bCs/>
          <w:iCs/>
        </w:rPr>
        <w:t>У пациентов с терминальной стадией почечной недостаточности (КК</w:t>
      </w:r>
      <w:r w:rsidR="00BE4DBB" w:rsidRPr="00D42490">
        <w:rPr>
          <w:bCs/>
          <w:iCs/>
        </w:rPr>
        <w:t> </w:t>
      </w:r>
      <w:r w:rsidRPr="00D42490">
        <w:rPr>
          <w:bCs/>
          <w:iCs/>
        </w:rPr>
        <w:t>&lt;</w:t>
      </w:r>
      <w:r w:rsidR="00097BDB" w:rsidRPr="00D42490">
        <w:rPr>
          <w:bCs/>
          <w:iCs/>
        </w:rPr>
        <w:t>10</w:t>
      </w:r>
      <w:r w:rsidR="00BB2B5B" w:rsidRPr="00D42490">
        <w:rPr>
          <w:bCs/>
          <w:iCs/>
        </w:rPr>
        <w:t> </w:t>
      </w:r>
      <w:r w:rsidRPr="00D42490">
        <w:rPr>
          <w:bCs/>
          <w:iCs/>
        </w:rPr>
        <w:t>мл/мин), которым</w:t>
      </w:r>
      <w:r w:rsidR="00097BDB" w:rsidRPr="00D42490">
        <w:rPr>
          <w:bCs/>
          <w:iCs/>
        </w:rPr>
        <w:t xml:space="preserve"> б</w:t>
      </w:r>
      <w:r w:rsidRPr="00D42490">
        <w:rPr>
          <w:bCs/>
          <w:iCs/>
        </w:rPr>
        <w:t>ыл необходим гемодиализ, концентрации тенофовира между диализами значительно</w:t>
      </w:r>
      <w:r w:rsidR="00097BDB" w:rsidRPr="00D42490">
        <w:rPr>
          <w:bCs/>
          <w:iCs/>
        </w:rPr>
        <w:t xml:space="preserve"> увеличивались в течение 48</w:t>
      </w:r>
      <w:r w:rsidR="00BB2B5B" w:rsidRPr="00D42490">
        <w:rPr>
          <w:bCs/>
          <w:iCs/>
        </w:rPr>
        <w:t> ч</w:t>
      </w:r>
      <w:r w:rsidR="00097BDB" w:rsidRPr="00D42490">
        <w:rPr>
          <w:bCs/>
          <w:iCs/>
        </w:rPr>
        <w:t>, достигая среднего значения С</w:t>
      </w:r>
      <w:r w:rsidR="00097BDB" w:rsidRPr="00D42490">
        <w:rPr>
          <w:bCs/>
          <w:iCs/>
          <w:vertAlign w:val="subscript"/>
          <w:lang w:val="en-US"/>
        </w:rPr>
        <w:t>max</w:t>
      </w:r>
      <w:r w:rsidR="00097BDB" w:rsidRPr="00D42490">
        <w:rPr>
          <w:bCs/>
          <w:iCs/>
        </w:rPr>
        <w:t xml:space="preserve"> 1032</w:t>
      </w:r>
      <w:r w:rsidR="00097BDB" w:rsidRPr="00D42490">
        <w:rPr>
          <w:bCs/>
          <w:iCs/>
          <w:lang w:val="en-US"/>
        </w:rPr>
        <w:t> </w:t>
      </w:r>
      <w:r w:rsidR="00097BDB" w:rsidRPr="00D42490">
        <w:rPr>
          <w:bCs/>
          <w:iCs/>
        </w:rPr>
        <w:t>нг/мл и среднего значения AUC</w:t>
      </w:r>
      <w:r w:rsidR="00097BDB" w:rsidRPr="00D42490">
        <w:rPr>
          <w:bCs/>
          <w:iCs/>
          <w:vertAlign w:val="subscript"/>
        </w:rPr>
        <w:t>0-48h</w:t>
      </w:r>
      <w:r w:rsidR="00097BDB" w:rsidRPr="00D42490">
        <w:rPr>
          <w:bCs/>
          <w:iCs/>
        </w:rPr>
        <w:t xml:space="preserve"> 42857</w:t>
      </w:r>
      <w:r w:rsidR="00BB2B5B" w:rsidRPr="00D42490">
        <w:rPr>
          <w:bCs/>
          <w:iCs/>
        </w:rPr>
        <w:t> </w:t>
      </w:r>
      <w:r w:rsidR="00097BDB" w:rsidRPr="00D42490">
        <w:rPr>
          <w:bCs/>
          <w:iCs/>
        </w:rPr>
        <w:t>нг</w:t>
      </w:r>
      <w:r w:rsidR="00704504" w:rsidRPr="00D42490">
        <w:rPr>
          <w:bCs/>
          <w:iCs/>
        </w:rPr>
        <w:t>×</w:t>
      </w:r>
      <w:r w:rsidR="00097BDB" w:rsidRPr="00D42490">
        <w:rPr>
          <w:bCs/>
          <w:iCs/>
        </w:rPr>
        <w:t>ч/мл.</w:t>
      </w:r>
    </w:p>
    <w:p w14:paraId="08320AF4" w14:textId="77777777" w:rsidR="00097BDB" w:rsidRPr="00D42490" w:rsidRDefault="00097BDB" w:rsidP="00A77E51">
      <w:pPr>
        <w:spacing w:line="360" w:lineRule="auto"/>
        <w:jc w:val="both"/>
        <w:rPr>
          <w:bCs/>
          <w:iCs/>
        </w:rPr>
      </w:pPr>
      <w:r w:rsidRPr="00D42490">
        <w:rPr>
          <w:bCs/>
          <w:iCs/>
        </w:rPr>
        <w:t>Рекомендуется, чтобы интервал между приемами 300</w:t>
      </w:r>
      <w:r w:rsidR="00BB2B5B" w:rsidRPr="00D42490">
        <w:rPr>
          <w:bCs/>
          <w:iCs/>
        </w:rPr>
        <w:t> </w:t>
      </w:r>
      <w:r w:rsidRPr="00D42490">
        <w:rPr>
          <w:bCs/>
          <w:iCs/>
        </w:rPr>
        <w:t>мг тенофовира дизопроксила фумарат</w:t>
      </w:r>
      <w:r w:rsidR="00D04F05" w:rsidRPr="00D42490">
        <w:rPr>
          <w:bCs/>
          <w:iCs/>
        </w:rPr>
        <w:t>а</w:t>
      </w:r>
      <w:r w:rsidRPr="00D42490">
        <w:rPr>
          <w:bCs/>
          <w:iCs/>
        </w:rPr>
        <w:t xml:space="preserve"> был изменен у взрослых пациентов с КК</w:t>
      </w:r>
      <w:r w:rsidR="00BE4DBB" w:rsidRPr="00D42490">
        <w:rPr>
          <w:bCs/>
          <w:iCs/>
        </w:rPr>
        <w:t> </w:t>
      </w:r>
      <w:r w:rsidRPr="00D42490">
        <w:rPr>
          <w:bCs/>
          <w:iCs/>
        </w:rPr>
        <w:t>&lt;50</w:t>
      </w:r>
      <w:r w:rsidR="00BB2B5B" w:rsidRPr="00D42490">
        <w:rPr>
          <w:bCs/>
          <w:iCs/>
        </w:rPr>
        <w:t> </w:t>
      </w:r>
      <w:r w:rsidRPr="00D42490">
        <w:rPr>
          <w:bCs/>
          <w:iCs/>
        </w:rPr>
        <w:t>мл/мин или у пациентов</w:t>
      </w:r>
      <w:r w:rsidR="00407A00" w:rsidRPr="00D42490">
        <w:rPr>
          <w:bCs/>
          <w:iCs/>
        </w:rPr>
        <w:t xml:space="preserve"> </w:t>
      </w:r>
      <w:r w:rsidR="005D12D9" w:rsidRPr="00D42490">
        <w:rPr>
          <w:bCs/>
          <w:iCs/>
        </w:rPr>
        <w:t>с</w:t>
      </w:r>
      <w:r w:rsidRPr="00D42490">
        <w:rPr>
          <w:bCs/>
          <w:iCs/>
        </w:rPr>
        <w:t xml:space="preserve"> </w:t>
      </w:r>
      <w:r w:rsidR="005D12D9" w:rsidRPr="00D42490">
        <w:rPr>
          <w:bCs/>
          <w:iCs/>
        </w:rPr>
        <w:t xml:space="preserve">терминальной стадией </w:t>
      </w:r>
      <w:r w:rsidRPr="00D42490">
        <w:rPr>
          <w:bCs/>
          <w:iCs/>
        </w:rPr>
        <w:t>почечной недостаточности и нуждающихся в диализе.</w:t>
      </w:r>
    </w:p>
    <w:p w14:paraId="02DAD69C" w14:textId="77777777" w:rsidR="00097BDB" w:rsidRPr="00D42490" w:rsidRDefault="00097BDB" w:rsidP="00A77E51">
      <w:pPr>
        <w:spacing w:line="360" w:lineRule="auto"/>
        <w:jc w:val="both"/>
        <w:rPr>
          <w:bCs/>
          <w:iCs/>
        </w:rPr>
      </w:pPr>
      <w:r w:rsidRPr="00D42490">
        <w:rPr>
          <w:bCs/>
          <w:iCs/>
        </w:rPr>
        <w:t>Фармакокинетика тенофовира у пациентов с КК</w:t>
      </w:r>
      <w:r w:rsidR="00C05F85" w:rsidRPr="00D42490">
        <w:rPr>
          <w:bCs/>
          <w:iCs/>
        </w:rPr>
        <w:t> </w:t>
      </w:r>
      <w:r w:rsidRPr="00D42490">
        <w:rPr>
          <w:bCs/>
          <w:iCs/>
        </w:rPr>
        <w:t>&lt;10</w:t>
      </w:r>
      <w:r w:rsidR="00BB2B5B" w:rsidRPr="00D42490">
        <w:rPr>
          <w:bCs/>
          <w:iCs/>
        </w:rPr>
        <w:t> </w:t>
      </w:r>
      <w:r w:rsidRPr="00D42490">
        <w:rPr>
          <w:bCs/>
          <w:iCs/>
        </w:rPr>
        <w:t xml:space="preserve">мл/мин </w:t>
      </w:r>
      <w:r w:rsidR="005D12D9" w:rsidRPr="00D42490">
        <w:rPr>
          <w:bCs/>
          <w:iCs/>
        </w:rPr>
        <w:t xml:space="preserve">без гемодиализа </w:t>
      </w:r>
      <w:r w:rsidRPr="00D42490">
        <w:rPr>
          <w:bCs/>
          <w:iCs/>
        </w:rPr>
        <w:t>и у пациентов с терминальной стадией почечной недостаточности, контроль состояния которых осуществляется путем перитонеального или других форм диализа, не исследовалась.</w:t>
      </w:r>
    </w:p>
    <w:p w14:paraId="2067D958" w14:textId="77777777" w:rsidR="00097BDB" w:rsidRPr="00D42490" w:rsidRDefault="00097BDB" w:rsidP="00A77E51">
      <w:pPr>
        <w:spacing w:line="360" w:lineRule="auto"/>
        <w:jc w:val="both"/>
        <w:rPr>
          <w:bCs/>
          <w:iCs/>
        </w:rPr>
      </w:pPr>
      <w:r w:rsidRPr="00D42490">
        <w:rPr>
          <w:bCs/>
          <w:iCs/>
        </w:rPr>
        <w:t xml:space="preserve">Исследования фармакокинетики тенофовира у детей с почечной недостаточностью не проводились. Данные по рекомендациям в отношении </w:t>
      </w:r>
      <w:r w:rsidR="00885278">
        <w:rPr>
          <w:bCs/>
          <w:iCs/>
        </w:rPr>
        <w:t xml:space="preserve">режима </w:t>
      </w:r>
      <w:r w:rsidRPr="00D42490">
        <w:rPr>
          <w:bCs/>
          <w:iCs/>
        </w:rPr>
        <w:t>дозирования отсутствуют.</w:t>
      </w:r>
    </w:p>
    <w:p w14:paraId="4B09C110" w14:textId="77777777" w:rsidR="00097BDB" w:rsidRPr="00D42490" w:rsidRDefault="00BB2B5B" w:rsidP="00A77E51">
      <w:pPr>
        <w:spacing w:line="360" w:lineRule="auto"/>
        <w:jc w:val="both"/>
        <w:rPr>
          <w:bCs/>
          <w:i/>
          <w:iCs/>
        </w:rPr>
      </w:pPr>
      <w:r w:rsidRPr="00D42490">
        <w:rPr>
          <w:bCs/>
          <w:i/>
          <w:iCs/>
        </w:rPr>
        <w:t>Пациенты с н</w:t>
      </w:r>
      <w:r w:rsidR="00097BDB" w:rsidRPr="00D42490">
        <w:rPr>
          <w:bCs/>
          <w:i/>
          <w:iCs/>
        </w:rPr>
        <w:t>арушение</w:t>
      </w:r>
      <w:r w:rsidRPr="00D42490">
        <w:rPr>
          <w:bCs/>
          <w:i/>
          <w:iCs/>
        </w:rPr>
        <w:t>м</w:t>
      </w:r>
      <w:r w:rsidR="00097BDB" w:rsidRPr="00D42490">
        <w:rPr>
          <w:bCs/>
          <w:i/>
          <w:iCs/>
        </w:rPr>
        <w:t xml:space="preserve"> функции печени</w:t>
      </w:r>
    </w:p>
    <w:p w14:paraId="50406737" w14:textId="77777777" w:rsidR="00097BDB" w:rsidRPr="00D42490" w:rsidRDefault="00097BDB" w:rsidP="00A77E51">
      <w:pPr>
        <w:spacing w:line="360" w:lineRule="auto"/>
        <w:jc w:val="both"/>
        <w:rPr>
          <w:bCs/>
          <w:iCs/>
        </w:rPr>
      </w:pPr>
      <w:r w:rsidRPr="00D42490">
        <w:rPr>
          <w:bCs/>
          <w:iCs/>
        </w:rPr>
        <w:t>Разовая доза 300</w:t>
      </w:r>
      <w:r w:rsidR="00BB2B5B" w:rsidRPr="00D42490">
        <w:rPr>
          <w:bCs/>
          <w:iCs/>
        </w:rPr>
        <w:t> </w:t>
      </w:r>
      <w:r w:rsidRPr="00D42490">
        <w:rPr>
          <w:bCs/>
          <w:iCs/>
        </w:rPr>
        <w:t>мг тенофовира дизопроксила фумарата принималась пациентами, не инфицированными ВИЧ и ВГВ, с нарушением функции печени различной степени, определяемым по классификации Чайлд-Пью. У пациентов с нарушением функции печени существенных изменений параметров фармакокинетики тенофовира не отмечалось, что предполагает отсутствие необходимости в коррекции дозы. Средние (%</w:t>
      </w:r>
      <w:r w:rsidR="00C05F85" w:rsidRPr="00D42490">
        <w:rPr>
          <w:bCs/>
          <w:iCs/>
        </w:rPr>
        <w:t> </w:t>
      </w:r>
      <w:r w:rsidRPr="00D42490">
        <w:rPr>
          <w:bCs/>
          <w:iCs/>
        </w:rPr>
        <w:t>С</w:t>
      </w:r>
      <w:r w:rsidRPr="00D42490">
        <w:rPr>
          <w:bCs/>
          <w:iCs/>
          <w:lang w:val="en-US"/>
        </w:rPr>
        <w:t>V</w:t>
      </w:r>
      <w:r w:rsidRPr="00D42490">
        <w:rPr>
          <w:bCs/>
          <w:iCs/>
        </w:rPr>
        <w:t>) значения С</w:t>
      </w:r>
      <w:r w:rsidRPr="00D42490">
        <w:rPr>
          <w:bCs/>
          <w:iCs/>
          <w:vertAlign w:val="subscript"/>
          <w:lang w:val="en-US"/>
        </w:rPr>
        <w:t>max</w:t>
      </w:r>
      <w:r w:rsidRPr="00D42490">
        <w:rPr>
          <w:bCs/>
          <w:iCs/>
        </w:rPr>
        <w:t xml:space="preserve"> и AUC</w:t>
      </w:r>
      <w:r w:rsidRPr="00D42490">
        <w:rPr>
          <w:bCs/>
          <w:iCs/>
          <w:vertAlign w:val="subscript"/>
        </w:rPr>
        <w:t>0-∞</w:t>
      </w:r>
      <w:r w:rsidRPr="00D42490">
        <w:rPr>
          <w:bCs/>
          <w:iCs/>
        </w:rPr>
        <w:t xml:space="preserve"> тенофовира составляли 223</w:t>
      </w:r>
      <w:r w:rsidR="00E52149" w:rsidRPr="00D42490">
        <w:rPr>
          <w:bCs/>
          <w:iCs/>
        </w:rPr>
        <w:t> </w:t>
      </w:r>
      <w:r w:rsidRPr="00D42490">
        <w:rPr>
          <w:bCs/>
          <w:iCs/>
        </w:rPr>
        <w:t>(34,8</w:t>
      </w:r>
      <w:r w:rsidR="00E52149" w:rsidRPr="00D42490">
        <w:rPr>
          <w:bCs/>
          <w:iCs/>
        </w:rPr>
        <w:t> </w:t>
      </w:r>
      <w:r w:rsidRPr="00D42490">
        <w:rPr>
          <w:bCs/>
          <w:iCs/>
        </w:rPr>
        <w:t>%)</w:t>
      </w:r>
      <w:r w:rsidR="00E52149" w:rsidRPr="00D42490">
        <w:rPr>
          <w:bCs/>
          <w:iCs/>
        </w:rPr>
        <w:t> </w:t>
      </w:r>
      <w:r w:rsidRPr="00D42490">
        <w:rPr>
          <w:bCs/>
          <w:iCs/>
        </w:rPr>
        <w:t>нг/мл и 2050</w:t>
      </w:r>
      <w:r w:rsidR="00E52149" w:rsidRPr="00D42490">
        <w:rPr>
          <w:bCs/>
          <w:iCs/>
        </w:rPr>
        <w:t> </w:t>
      </w:r>
      <w:r w:rsidRPr="00D42490">
        <w:rPr>
          <w:bCs/>
          <w:iCs/>
        </w:rPr>
        <w:t>(50,8</w:t>
      </w:r>
      <w:r w:rsidR="00E52149" w:rsidRPr="00D42490">
        <w:rPr>
          <w:bCs/>
          <w:iCs/>
        </w:rPr>
        <w:t> </w:t>
      </w:r>
      <w:r w:rsidRPr="00D42490">
        <w:rPr>
          <w:bCs/>
          <w:iCs/>
        </w:rPr>
        <w:t>%)</w:t>
      </w:r>
      <w:r w:rsidR="00E52149" w:rsidRPr="00D42490">
        <w:rPr>
          <w:bCs/>
          <w:iCs/>
        </w:rPr>
        <w:t> </w:t>
      </w:r>
      <w:r w:rsidRPr="00D42490">
        <w:rPr>
          <w:bCs/>
          <w:iCs/>
        </w:rPr>
        <w:t>нг</w:t>
      </w:r>
      <w:r w:rsidR="00704504" w:rsidRPr="00D42490">
        <w:rPr>
          <w:bCs/>
          <w:iCs/>
        </w:rPr>
        <w:t>×</w:t>
      </w:r>
      <w:r w:rsidRPr="00D42490">
        <w:rPr>
          <w:bCs/>
          <w:iCs/>
        </w:rPr>
        <w:t>ч/мл, соответственно, у</w:t>
      </w:r>
      <w:r w:rsidR="00181FD7" w:rsidRPr="00D42490">
        <w:rPr>
          <w:bCs/>
          <w:iCs/>
        </w:rPr>
        <w:t xml:space="preserve"> </w:t>
      </w:r>
      <w:r w:rsidRPr="00D42490">
        <w:rPr>
          <w:bCs/>
          <w:iCs/>
        </w:rPr>
        <w:t>лиц без нарушения функции печени, 289</w:t>
      </w:r>
      <w:r w:rsidR="00E52149" w:rsidRPr="00D42490">
        <w:rPr>
          <w:bCs/>
          <w:iCs/>
        </w:rPr>
        <w:t> </w:t>
      </w:r>
      <w:r w:rsidRPr="00D42490">
        <w:rPr>
          <w:bCs/>
          <w:iCs/>
        </w:rPr>
        <w:t>(46,0</w:t>
      </w:r>
      <w:r w:rsidR="00E52149" w:rsidRPr="00D42490">
        <w:rPr>
          <w:bCs/>
          <w:iCs/>
        </w:rPr>
        <w:t> </w:t>
      </w:r>
      <w:r w:rsidRPr="00D42490">
        <w:rPr>
          <w:bCs/>
          <w:iCs/>
        </w:rPr>
        <w:t>%)</w:t>
      </w:r>
      <w:r w:rsidR="00E52149" w:rsidRPr="00D42490">
        <w:rPr>
          <w:bCs/>
          <w:iCs/>
        </w:rPr>
        <w:t> </w:t>
      </w:r>
      <w:r w:rsidRPr="00D42490">
        <w:rPr>
          <w:bCs/>
          <w:iCs/>
        </w:rPr>
        <w:t>нг/мл и 2310</w:t>
      </w:r>
      <w:r w:rsidR="00E52149" w:rsidRPr="00D42490">
        <w:rPr>
          <w:bCs/>
          <w:iCs/>
        </w:rPr>
        <w:t> </w:t>
      </w:r>
      <w:r w:rsidRPr="00D42490">
        <w:rPr>
          <w:bCs/>
          <w:iCs/>
        </w:rPr>
        <w:t>(43,</w:t>
      </w:r>
      <w:r w:rsidR="00407A00" w:rsidRPr="00D42490">
        <w:rPr>
          <w:bCs/>
          <w:iCs/>
        </w:rPr>
        <w:t>5 %) </w:t>
      </w:r>
      <w:r w:rsidRPr="00D42490">
        <w:rPr>
          <w:bCs/>
          <w:iCs/>
        </w:rPr>
        <w:t>нг</w:t>
      </w:r>
      <w:r w:rsidR="00704504" w:rsidRPr="00D42490">
        <w:rPr>
          <w:bCs/>
          <w:iCs/>
        </w:rPr>
        <w:t>×</w:t>
      </w:r>
      <w:r w:rsidRPr="00D42490">
        <w:rPr>
          <w:bCs/>
          <w:iCs/>
        </w:rPr>
        <w:t>ч/мл у лиц с умеренным нарушением функции печени</w:t>
      </w:r>
      <w:r w:rsidR="00181FD7" w:rsidRPr="00D42490">
        <w:rPr>
          <w:bCs/>
          <w:iCs/>
        </w:rPr>
        <w:t>,</w:t>
      </w:r>
      <w:r w:rsidRPr="00D42490">
        <w:rPr>
          <w:bCs/>
          <w:iCs/>
        </w:rPr>
        <w:t xml:space="preserve"> 305</w:t>
      </w:r>
      <w:r w:rsidR="00E52149" w:rsidRPr="00D42490">
        <w:rPr>
          <w:bCs/>
          <w:iCs/>
        </w:rPr>
        <w:t> </w:t>
      </w:r>
      <w:r w:rsidRPr="00D42490">
        <w:rPr>
          <w:bCs/>
          <w:iCs/>
        </w:rPr>
        <w:t>(24,8</w:t>
      </w:r>
      <w:r w:rsidR="00E52149" w:rsidRPr="00D42490">
        <w:rPr>
          <w:bCs/>
          <w:iCs/>
        </w:rPr>
        <w:t> </w:t>
      </w:r>
      <w:r w:rsidRPr="00D42490">
        <w:rPr>
          <w:bCs/>
          <w:iCs/>
        </w:rPr>
        <w:t>%)</w:t>
      </w:r>
      <w:r w:rsidR="00E52149" w:rsidRPr="00D42490">
        <w:rPr>
          <w:bCs/>
          <w:iCs/>
        </w:rPr>
        <w:t> </w:t>
      </w:r>
      <w:r w:rsidRPr="00D42490">
        <w:rPr>
          <w:bCs/>
          <w:iCs/>
        </w:rPr>
        <w:t xml:space="preserve">нг/мл и </w:t>
      </w:r>
      <w:r w:rsidR="00012E51" w:rsidRPr="00D42490">
        <w:rPr>
          <w:bCs/>
          <w:iCs/>
        </w:rPr>
        <w:t>2740</w:t>
      </w:r>
      <w:r w:rsidR="00012E51" w:rsidRPr="00D42490">
        <w:t> </w:t>
      </w:r>
      <w:r w:rsidRPr="00D42490">
        <w:rPr>
          <w:bCs/>
          <w:iCs/>
        </w:rPr>
        <w:t>(44,0 </w:t>
      </w:r>
      <w:r w:rsidR="00012E51" w:rsidRPr="00D42490">
        <w:rPr>
          <w:bCs/>
          <w:iCs/>
        </w:rPr>
        <w:t>%) </w:t>
      </w:r>
      <w:r w:rsidRPr="00D42490">
        <w:rPr>
          <w:bCs/>
          <w:iCs/>
        </w:rPr>
        <w:t>нг</w:t>
      </w:r>
      <w:r w:rsidR="00704504" w:rsidRPr="00D42490">
        <w:rPr>
          <w:bCs/>
          <w:iCs/>
        </w:rPr>
        <w:t>×</w:t>
      </w:r>
      <w:r w:rsidRPr="00D42490">
        <w:rPr>
          <w:bCs/>
          <w:iCs/>
        </w:rPr>
        <w:t>ч/мл у лиц с тяжелым нарушением функции печени.</w:t>
      </w:r>
    </w:p>
    <w:p w14:paraId="51C4921B" w14:textId="77777777" w:rsidR="00097BDB" w:rsidRPr="00D42490" w:rsidRDefault="00097BDB" w:rsidP="00A77E51">
      <w:pPr>
        <w:spacing w:line="360" w:lineRule="auto"/>
        <w:jc w:val="both"/>
        <w:rPr>
          <w:bCs/>
          <w:i/>
          <w:iCs/>
        </w:rPr>
      </w:pPr>
      <w:r w:rsidRPr="00D42490">
        <w:rPr>
          <w:bCs/>
          <w:i/>
          <w:iCs/>
        </w:rPr>
        <w:t>Внутриклеточная фармакокинетика</w:t>
      </w:r>
    </w:p>
    <w:p w14:paraId="7D25E993" w14:textId="77777777" w:rsidR="00015D6C" w:rsidRPr="00D42490" w:rsidRDefault="00097BDB" w:rsidP="00A77E51">
      <w:pPr>
        <w:spacing w:line="360" w:lineRule="auto"/>
        <w:jc w:val="both"/>
        <w:rPr>
          <w:bCs/>
          <w:iCs/>
        </w:rPr>
      </w:pPr>
      <w:r w:rsidRPr="00D42490">
        <w:rPr>
          <w:bCs/>
          <w:iCs/>
        </w:rPr>
        <w:t>Было обнаружено, что в неделящихся мононуклеарных клетках периферической крови человека (МКПК) период полувыведения тенофовира дифосфата составляет примерно 50 </w:t>
      </w:r>
      <w:r w:rsidR="00E52149" w:rsidRPr="00D42490">
        <w:rPr>
          <w:bCs/>
          <w:iCs/>
        </w:rPr>
        <w:t>ч</w:t>
      </w:r>
      <w:r w:rsidRPr="00D42490">
        <w:rPr>
          <w:bCs/>
          <w:iCs/>
        </w:rPr>
        <w:t>, тогда как в МКПК, стим</w:t>
      </w:r>
      <w:r w:rsidR="00284117" w:rsidRPr="00D42490">
        <w:rPr>
          <w:bCs/>
          <w:iCs/>
        </w:rPr>
        <w:t>улированных фитогемагглютинином</w:t>
      </w:r>
      <w:r w:rsidRPr="00D42490">
        <w:rPr>
          <w:bCs/>
          <w:iCs/>
        </w:rPr>
        <w:t xml:space="preserve"> </w:t>
      </w:r>
      <w:r w:rsidR="00284117" w:rsidRPr="00D42490">
        <w:rPr>
          <w:bCs/>
          <w:iCs/>
        </w:rPr>
        <w:noBreakHyphen/>
      </w:r>
      <w:r w:rsidRPr="00D42490">
        <w:rPr>
          <w:bCs/>
          <w:iCs/>
        </w:rPr>
        <w:t xml:space="preserve"> примерно 10 </w:t>
      </w:r>
      <w:r w:rsidR="00E52149" w:rsidRPr="00D42490">
        <w:rPr>
          <w:bCs/>
          <w:iCs/>
        </w:rPr>
        <w:t>ч</w:t>
      </w:r>
      <w:r w:rsidRPr="00D42490">
        <w:rPr>
          <w:bCs/>
          <w:iCs/>
        </w:rPr>
        <w:t>.</w:t>
      </w:r>
    </w:p>
    <w:p w14:paraId="327EAF74" w14:textId="77777777" w:rsidR="00276BEE" w:rsidRPr="006B5F66" w:rsidRDefault="00217897" w:rsidP="00613C0A">
      <w:pPr>
        <w:spacing w:before="120" w:line="360" w:lineRule="auto"/>
        <w:jc w:val="both"/>
        <w:rPr>
          <w:b/>
        </w:rPr>
      </w:pPr>
      <w:r w:rsidRPr="006B5F66">
        <w:rPr>
          <w:b/>
        </w:rPr>
        <w:t>Показания к применению</w:t>
      </w:r>
    </w:p>
    <w:p w14:paraId="411DC324" w14:textId="77777777" w:rsidR="00B80CBD" w:rsidRPr="006B5F66" w:rsidRDefault="00B80CBD" w:rsidP="006B5F66">
      <w:pPr>
        <w:spacing w:line="360" w:lineRule="auto"/>
        <w:jc w:val="both"/>
      </w:pPr>
      <w:r w:rsidRPr="006B5F66">
        <w:rPr>
          <w:i/>
          <w:iCs/>
        </w:rPr>
        <w:t>Инфекция ВИЧ-1</w:t>
      </w:r>
    </w:p>
    <w:p w14:paraId="2DD4194A" w14:textId="77777777" w:rsidR="00287A1E" w:rsidRPr="006B5F66" w:rsidRDefault="00B80CBD" w:rsidP="006B5F66">
      <w:pPr>
        <w:widowControl w:val="0"/>
        <w:spacing w:line="360" w:lineRule="auto"/>
        <w:jc w:val="both"/>
      </w:pPr>
      <w:r w:rsidRPr="006B5F66">
        <w:t>Лечение ВИЧ-1 инфекции у взрослых в комбинации с другими антиретровирусными препаратами.</w:t>
      </w:r>
    </w:p>
    <w:p w14:paraId="3CDB0439" w14:textId="77777777" w:rsidR="00B80CBD" w:rsidRPr="006B5F66" w:rsidRDefault="00B80CBD" w:rsidP="006B5F66">
      <w:pPr>
        <w:spacing w:line="360" w:lineRule="auto"/>
        <w:jc w:val="both"/>
      </w:pPr>
      <w:r w:rsidRPr="006B5F66">
        <w:lastRenderedPageBreak/>
        <w:t>Лечение ВИЧ-1 инфекции у детей в возрасте от 12 до 18</w:t>
      </w:r>
      <w:r w:rsidR="000774B8" w:rsidRPr="006B5F66">
        <w:t> </w:t>
      </w:r>
      <w:r w:rsidRPr="006B5F66">
        <w:t>лет с наличием резистентности к нуклеозидным ингибиторам обратной транскриптазы или токсичности</w:t>
      </w:r>
      <w:r w:rsidR="000774B8" w:rsidRPr="006B5F66">
        <w:t>,</w:t>
      </w:r>
      <w:r w:rsidRPr="006B5F66">
        <w:t xml:space="preserve"> исключающей возможность использования антиретровирусных препаратов первой линии.</w:t>
      </w:r>
    </w:p>
    <w:p w14:paraId="393DDE77" w14:textId="77777777" w:rsidR="00B80CBD" w:rsidRPr="006B5F66" w:rsidRDefault="00B80CBD" w:rsidP="006B5F66">
      <w:pPr>
        <w:keepNext/>
        <w:spacing w:line="360" w:lineRule="auto"/>
        <w:jc w:val="both"/>
      </w:pPr>
      <w:r w:rsidRPr="006B5F66">
        <w:rPr>
          <w:i/>
          <w:iCs/>
        </w:rPr>
        <w:t>Гепатит</w:t>
      </w:r>
      <w:r w:rsidR="002205BC">
        <w:rPr>
          <w:i/>
          <w:iCs/>
        </w:rPr>
        <w:t> </w:t>
      </w:r>
      <w:r w:rsidRPr="006B5F66">
        <w:rPr>
          <w:i/>
          <w:iCs/>
        </w:rPr>
        <w:t>В</w:t>
      </w:r>
    </w:p>
    <w:p w14:paraId="158C5A51" w14:textId="77777777" w:rsidR="00B80CBD" w:rsidRPr="006B5F66" w:rsidRDefault="00B80CBD" w:rsidP="006B5F66">
      <w:pPr>
        <w:spacing w:line="360" w:lineRule="auto"/>
        <w:jc w:val="both"/>
      </w:pPr>
      <w:r w:rsidRPr="006B5F66">
        <w:t>Лечение хронического гепатита</w:t>
      </w:r>
      <w:r w:rsidR="002205BC">
        <w:t> </w:t>
      </w:r>
      <w:proofErr w:type="gramStart"/>
      <w:r w:rsidRPr="006B5F66">
        <w:t>В у</w:t>
      </w:r>
      <w:proofErr w:type="gramEnd"/>
      <w:r w:rsidRPr="006B5F66">
        <w:t xml:space="preserve"> взрослых с:</w:t>
      </w:r>
    </w:p>
    <w:p w14:paraId="44719C28" w14:textId="77777777" w:rsidR="00B80CBD" w:rsidRPr="006B5F66" w:rsidRDefault="00B80CBD" w:rsidP="006B5F66">
      <w:pPr>
        <w:numPr>
          <w:ilvl w:val="0"/>
          <w:numId w:val="21"/>
        </w:numPr>
        <w:tabs>
          <w:tab w:val="left" w:pos="713"/>
        </w:tabs>
        <w:spacing w:line="360" w:lineRule="auto"/>
        <w:ind w:left="709"/>
        <w:jc w:val="both"/>
      </w:pPr>
      <w:r w:rsidRPr="006B5F66">
        <w:t>компенсированным заболеванием печени, признаками активной репликации вируса, постоянной повышенной активностью в сыворотке крови аланинаминотрансферазы (АЛТ) и гистологически подтвержденным активным воспалительным процессом и/или фиброзом;</w:t>
      </w:r>
    </w:p>
    <w:p w14:paraId="5580965A" w14:textId="77777777" w:rsidR="00B80CBD" w:rsidRPr="006B5F66" w:rsidRDefault="00B80CBD" w:rsidP="006B5F66">
      <w:pPr>
        <w:numPr>
          <w:ilvl w:val="0"/>
          <w:numId w:val="21"/>
        </w:numPr>
        <w:tabs>
          <w:tab w:val="left" w:pos="713"/>
        </w:tabs>
        <w:spacing w:line="360" w:lineRule="auto"/>
        <w:ind w:left="709"/>
        <w:jc w:val="both"/>
      </w:pPr>
      <w:r w:rsidRPr="006B5F66">
        <w:t>доказанным наличием резистентности ВГВ к ламивудину</w:t>
      </w:r>
      <w:r w:rsidR="00E127D6" w:rsidRPr="006B5F66">
        <w:t xml:space="preserve"> (см.</w:t>
      </w:r>
      <w:r w:rsidR="001B7F48" w:rsidRPr="006B5F66">
        <w:t xml:space="preserve"> раздел «Побочное действие»</w:t>
      </w:r>
      <w:r w:rsidR="00E127D6" w:rsidRPr="006B5F66">
        <w:t>)</w:t>
      </w:r>
      <w:r w:rsidRPr="006B5F66">
        <w:t>;</w:t>
      </w:r>
    </w:p>
    <w:p w14:paraId="4114E325" w14:textId="77777777" w:rsidR="00B80CBD" w:rsidRPr="006B5F66" w:rsidRDefault="00B80CBD" w:rsidP="006B5F66">
      <w:pPr>
        <w:numPr>
          <w:ilvl w:val="0"/>
          <w:numId w:val="21"/>
        </w:numPr>
        <w:tabs>
          <w:tab w:val="left" w:pos="713"/>
        </w:tabs>
        <w:spacing w:line="360" w:lineRule="auto"/>
        <w:ind w:left="709"/>
        <w:jc w:val="both"/>
      </w:pPr>
      <w:r w:rsidRPr="006B5F66">
        <w:t>декомпенсированным заболеванием печени</w:t>
      </w:r>
      <w:r w:rsidR="001B7F48" w:rsidRPr="006B5F66">
        <w:t xml:space="preserve"> (см. разделы «Побочное действие» и «Особые указания»)</w:t>
      </w:r>
      <w:r w:rsidRPr="006B5F66">
        <w:t>.</w:t>
      </w:r>
    </w:p>
    <w:p w14:paraId="595AE439" w14:textId="77777777" w:rsidR="00B80CBD" w:rsidRPr="006B5F66" w:rsidRDefault="00B80CBD" w:rsidP="006B5F66">
      <w:pPr>
        <w:spacing w:line="360" w:lineRule="auto"/>
        <w:jc w:val="both"/>
      </w:pPr>
      <w:r w:rsidRPr="006B5F66">
        <w:t>Лечение хронического гепатита</w:t>
      </w:r>
      <w:r w:rsidR="002205BC">
        <w:t> </w:t>
      </w:r>
      <w:proofErr w:type="gramStart"/>
      <w:r w:rsidRPr="006B5F66">
        <w:t>В у</w:t>
      </w:r>
      <w:proofErr w:type="gramEnd"/>
      <w:r w:rsidRPr="006B5F66">
        <w:t xml:space="preserve"> детей в возрасте от 12 до 18</w:t>
      </w:r>
      <w:r w:rsidR="000774B8" w:rsidRPr="006B5F66">
        <w:t> </w:t>
      </w:r>
      <w:r w:rsidRPr="006B5F66">
        <w:t>лет с</w:t>
      </w:r>
      <w:r w:rsidR="00F2223B" w:rsidRPr="006B5F66">
        <w:t>:</w:t>
      </w:r>
    </w:p>
    <w:p w14:paraId="0EF23A1F" w14:textId="77777777" w:rsidR="00B80CBD" w:rsidRPr="006B5F66" w:rsidRDefault="00B80CBD" w:rsidP="006B5F66">
      <w:pPr>
        <w:pStyle w:val="af2"/>
        <w:numPr>
          <w:ilvl w:val="0"/>
          <w:numId w:val="20"/>
        </w:numPr>
        <w:tabs>
          <w:tab w:val="left" w:pos="713"/>
        </w:tabs>
        <w:spacing w:line="360" w:lineRule="auto"/>
        <w:ind w:left="709"/>
        <w:jc w:val="both"/>
      </w:pPr>
      <w:r w:rsidRPr="006B5F66">
        <w:t>компенсированным заболеванием печени с признаками активного воспалительного процесса и активной репликации вируса, что подтверждается постоянной повышенной активностью АЛТ в сыворотке крови и гистологически подтвержденным активным воспалительным процессом и/или фиброзом</w:t>
      </w:r>
      <w:r w:rsidR="001B7F48" w:rsidRPr="006B5F66">
        <w:t xml:space="preserve"> (см. разделы «Побочное действие» и «Особые указания»)</w:t>
      </w:r>
      <w:r w:rsidRPr="006B5F66">
        <w:t>.</w:t>
      </w:r>
    </w:p>
    <w:p w14:paraId="7DAC81D0" w14:textId="77777777" w:rsidR="002268CE" w:rsidRPr="00B82494" w:rsidRDefault="00217897" w:rsidP="00613C0A">
      <w:pPr>
        <w:spacing w:before="120" w:line="360" w:lineRule="auto"/>
        <w:jc w:val="both"/>
        <w:rPr>
          <w:b/>
        </w:rPr>
      </w:pPr>
      <w:r w:rsidRPr="00B82494">
        <w:rPr>
          <w:b/>
        </w:rPr>
        <w:t>Противопоказания</w:t>
      </w:r>
    </w:p>
    <w:p w14:paraId="5DFCFE80" w14:textId="77777777" w:rsidR="00B80CBD" w:rsidRPr="00B82494" w:rsidRDefault="00B80CBD" w:rsidP="00A77E51">
      <w:pPr>
        <w:numPr>
          <w:ilvl w:val="0"/>
          <w:numId w:val="19"/>
        </w:numPr>
        <w:tabs>
          <w:tab w:val="left" w:pos="713"/>
        </w:tabs>
        <w:spacing w:line="360" w:lineRule="auto"/>
        <w:ind w:left="709"/>
        <w:jc w:val="both"/>
      </w:pPr>
      <w:r w:rsidRPr="00B82494">
        <w:t>Повышенная чувствительность к действующему веществу или любому другому компоненту препарата.</w:t>
      </w:r>
    </w:p>
    <w:p w14:paraId="4DBC4ABE" w14:textId="77777777" w:rsidR="00B80CBD" w:rsidRPr="00B82494" w:rsidRDefault="00B80CBD" w:rsidP="00A77E51">
      <w:pPr>
        <w:numPr>
          <w:ilvl w:val="0"/>
          <w:numId w:val="19"/>
        </w:numPr>
        <w:tabs>
          <w:tab w:val="left" w:pos="713"/>
        </w:tabs>
        <w:spacing w:line="360" w:lineRule="auto"/>
        <w:ind w:left="709"/>
        <w:jc w:val="both"/>
      </w:pPr>
      <w:r w:rsidRPr="00B82494">
        <w:t>Детский возраст до 12</w:t>
      </w:r>
      <w:r w:rsidR="000774B8" w:rsidRPr="00B82494">
        <w:t> </w:t>
      </w:r>
      <w:r w:rsidRPr="00B82494">
        <w:t>лет и масса тела &lt;35</w:t>
      </w:r>
      <w:r w:rsidR="000774B8" w:rsidRPr="00B82494">
        <w:t> </w:t>
      </w:r>
      <w:r w:rsidRPr="00B82494">
        <w:t>кг (эффективность и безопасность не установлены).</w:t>
      </w:r>
    </w:p>
    <w:p w14:paraId="4B8C377C" w14:textId="77777777" w:rsidR="00B80CBD" w:rsidRPr="00B82494" w:rsidRDefault="00B80CBD" w:rsidP="00A77E51">
      <w:pPr>
        <w:numPr>
          <w:ilvl w:val="0"/>
          <w:numId w:val="19"/>
        </w:numPr>
        <w:tabs>
          <w:tab w:val="left" w:pos="713"/>
        </w:tabs>
        <w:spacing w:line="360" w:lineRule="auto"/>
        <w:ind w:left="709"/>
        <w:jc w:val="both"/>
      </w:pPr>
      <w:r w:rsidRPr="00B82494">
        <w:t>Дети в возрасте от 12 до 18</w:t>
      </w:r>
      <w:r w:rsidR="000774B8" w:rsidRPr="00B82494">
        <w:t> </w:t>
      </w:r>
      <w:r w:rsidRPr="00B82494">
        <w:t>лет с нарушением функции почек (отсутствуют рекомендации по режиму дозирования).</w:t>
      </w:r>
    </w:p>
    <w:p w14:paraId="5D396F6E" w14:textId="77777777" w:rsidR="00B80CBD" w:rsidRPr="00B82494" w:rsidRDefault="00B80CBD" w:rsidP="00A77E51">
      <w:pPr>
        <w:numPr>
          <w:ilvl w:val="0"/>
          <w:numId w:val="19"/>
        </w:numPr>
        <w:tabs>
          <w:tab w:val="left" w:pos="713"/>
        </w:tabs>
        <w:spacing w:line="360" w:lineRule="auto"/>
        <w:ind w:left="709"/>
        <w:jc w:val="both"/>
      </w:pPr>
      <w:r w:rsidRPr="00B82494">
        <w:t>П</w:t>
      </w:r>
      <w:r w:rsidR="001B7F48" w:rsidRPr="00B82494">
        <w:t xml:space="preserve">ациенты, которые не находятся на гемодиализе и имеют </w:t>
      </w:r>
      <w:r w:rsidRPr="00B82494">
        <w:t>КК</w:t>
      </w:r>
      <w:r w:rsidR="000774B8" w:rsidRPr="00B82494">
        <w:t> </w:t>
      </w:r>
      <w:r w:rsidRPr="00B82494">
        <w:t>&lt;</w:t>
      </w:r>
      <w:r w:rsidR="001B7F48" w:rsidRPr="00B82494">
        <w:t>10</w:t>
      </w:r>
      <w:r w:rsidR="000774B8" w:rsidRPr="00B82494">
        <w:t> </w:t>
      </w:r>
      <w:r w:rsidRPr="00B82494">
        <w:t>мл/мин.</w:t>
      </w:r>
    </w:p>
    <w:p w14:paraId="7F74B190" w14:textId="77777777" w:rsidR="00B80CBD" w:rsidRPr="00B82494" w:rsidRDefault="00B80CBD" w:rsidP="00A77E51">
      <w:pPr>
        <w:numPr>
          <w:ilvl w:val="0"/>
          <w:numId w:val="19"/>
        </w:numPr>
        <w:tabs>
          <w:tab w:val="left" w:pos="713"/>
        </w:tabs>
        <w:spacing w:line="360" w:lineRule="auto"/>
        <w:ind w:left="709"/>
        <w:jc w:val="both"/>
      </w:pPr>
      <w:r w:rsidRPr="00B82494">
        <w:t xml:space="preserve">Период </w:t>
      </w:r>
      <w:r w:rsidR="001B7F48" w:rsidRPr="00B82494">
        <w:t>грудного вскармливания</w:t>
      </w:r>
      <w:r w:rsidRPr="00B82494">
        <w:t>.</w:t>
      </w:r>
    </w:p>
    <w:p w14:paraId="3ACCE304" w14:textId="77777777" w:rsidR="00B80CBD" w:rsidRPr="00B82494" w:rsidRDefault="00B80CBD" w:rsidP="00A77E51">
      <w:pPr>
        <w:numPr>
          <w:ilvl w:val="0"/>
          <w:numId w:val="19"/>
        </w:numPr>
        <w:tabs>
          <w:tab w:val="left" w:pos="713"/>
        </w:tabs>
        <w:spacing w:line="360" w:lineRule="auto"/>
        <w:ind w:left="709"/>
        <w:jc w:val="both"/>
      </w:pPr>
      <w:r w:rsidRPr="00B82494">
        <w:t>Одновременный прием с другими препаратами, содержащими тенофовир</w:t>
      </w:r>
      <w:r w:rsidR="001B7F48" w:rsidRPr="00B82494">
        <w:t>а дизопроксила фумарат или тенофовира алафенамид</w:t>
      </w:r>
      <w:r w:rsidRPr="00B82494">
        <w:t xml:space="preserve"> (см. разделы «Взаимодействие с другими лекарственными средствами» и «Особые указания»).</w:t>
      </w:r>
    </w:p>
    <w:p w14:paraId="612DD41D" w14:textId="77777777" w:rsidR="00B80CBD" w:rsidRPr="00B82494" w:rsidRDefault="00B80CBD" w:rsidP="00A77E51">
      <w:pPr>
        <w:numPr>
          <w:ilvl w:val="0"/>
          <w:numId w:val="19"/>
        </w:numPr>
        <w:tabs>
          <w:tab w:val="left" w:pos="713"/>
        </w:tabs>
        <w:spacing w:line="360" w:lineRule="auto"/>
        <w:ind w:left="709"/>
        <w:jc w:val="both"/>
      </w:pPr>
      <w:r w:rsidRPr="00B82494">
        <w:t>Одновременный прием с адефовиром (см. разделы «Взаимодействие с другими лекарственными средствами» и «Особые указания»).</w:t>
      </w:r>
    </w:p>
    <w:p w14:paraId="362F3733" w14:textId="77777777" w:rsidR="00B80CBD" w:rsidRPr="00B82494" w:rsidRDefault="001B7F48" w:rsidP="00A77E51">
      <w:pPr>
        <w:numPr>
          <w:ilvl w:val="0"/>
          <w:numId w:val="19"/>
        </w:numPr>
        <w:tabs>
          <w:tab w:val="left" w:pos="713"/>
        </w:tabs>
        <w:spacing w:line="360" w:lineRule="auto"/>
        <w:ind w:left="709"/>
        <w:jc w:val="both"/>
      </w:pPr>
      <w:r w:rsidRPr="00B82494">
        <w:lastRenderedPageBreak/>
        <w:t>П</w:t>
      </w:r>
      <w:r w:rsidR="00B80CBD" w:rsidRPr="00B82494">
        <w:t>ациент</w:t>
      </w:r>
      <w:r w:rsidRPr="00B82494">
        <w:t>ам</w:t>
      </w:r>
      <w:r w:rsidR="00B80CBD" w:rsidRPr="00B82494">
        <w:t xml:space="preserve"> с дефицитом лактазы, непереносимостью лактозы, глюкозо-галактозной мальабсорбцией</w:t>
      </w:r>
      <w:r w:rsidRPr="00B82494">
        <w:t xml:space="preserve"> (т.к. препарат содержит лактозы моногидрат)</w:t>
      </w:r>
      <w:r w:rsidR="00B80CBD" w:rsidRPr="00B82494">
        <w:t>.</w:t>
      </w:r>
    </w:p>
    <w:p w14:paraId="4C657120" w14:textId="77777777" w:rsidR="008B4FB3" w:rsidRPr="008C27B8" w:rsidRDefault="008A7521" w:rsidP="00F30F2B">
      <w:pPr>
        <w:tabs>
          <w:tab w:val="left" w:pos="709"/>
        </w:tabs>
        <w:spacing w:before="120" w:line="360" w:lineRule="auto"/>
        <w:jc w:val="both"/>
      </w:pPr>
      <w:r w:rsidRPr="008C27B8">
        <w:rPr>
          <w:b/>
        </w:rPr>
        <w:t>С осторожностью</w:t>
      </w:r>
    </w:p>
    <w:p w14:paraId="6AB1AB0B" w14:textId="77777777" w:rsidR="000D141D" w:rsidRPr="008C27B8" w:rsidRDefault="000D141D" w:rsidP="00A77E51">
      <w:pPr>
        <w:numPr>
          <w:ilvl w:val="0"/>
          <w:numId w:val="16"/>
        </w:numPr>
        <w:spacing w:line="360" w:lineRule="auto"/>
        <w:ind w:left="709"/>
        <w:jc w:val="both"/>
      </w:pPr>
      <w:r w:rsidRPr="008C27B8">
        <w:t>у пациентов с сахарным диабетом;</w:t>
      </w:r>
    </w:p>
    <w:p w14:paraId="3CFBBDB5" w14:textId="77777777" w:rsidR="00B80CBD" w:rsidRPr="008C27B8" w:rsidRDefault="00B80CBD" w:rsidP="00A77E51">
      <w:pPr>
        <w:numPr>
          <w:ilvl w:val="0"/>
          <w:numId w:val="16"/>
        </w:numPr>
        <w:tabs>
          <w:tab w:val="left" w:pos="691"/>
        </w:tabs>
        <w:spacing w:line="360" w:lineRule="auto"/>
        <w:ind w:left="709"/>
        <w:jc w:val="both"/>
      </w:pPr>
      <w:r w:rsidRPr="008C27B8">
        <w:t>у пожилых пациентов (в возрасте старше 65</w:t>
      </w:r>
      <w:r w:rsidR="00AA3F53" w:rsidRPr="008C27B8">
        <w:t> </w:t>
      </w:r>
      <w:r w:rsidRPr="008C27B8">
        <w:t>лет);</w:t>
      </w:r>
    </w:p>
    <w:p w14:paraId="20A99422" w14:textId="77777777" w:rsidR="00B80CBD" w:rsidRPr="008C27B8" w:rsidRDefault="00B80CBD" w:rsidP="00A77E51">
      <w:pPr>
        <w:numPr>
          <w:ilvl w:val="0"/>
          <w:numId w:val="16"/>
        </w:numPr>
        <w:tabs>
          <w:tab w:val="left" w:pos="691"/>
        </w:tabs>
        <w:spacing w:line="360" w:lineRule="auto"/>
        <w:ind w:left="709"/>
        <w:jc w:val="both"/>
      </w:pPr>
      <w:r w:rsidRPr="008C27B8">
        <w:t>у пациентов с нарушением функции почек</w:t>
      </w:r>
      <w:r w:rsidR="00F2223B" w:rsidRPr="008C27B8">
        <w:t xml:space="preserve"> (см. раздел «Особые указания»);</w:t>
      </w:r>
    </w:p>
    <w:p w14:paraId="24A4ABDA" w14:textId="77777777" w:rsidR="00B80CBD" w:rsidRPr="008C27B8" w:rsidRDefault="00A95767" w:rsidP="00A77E51">
      <w:pPr>
        <w:numPr>
          <w:ilvl w:val="0"/>
          <w:numId w:val="16"/>
        </w:numPr>
        <w:tabs>
          <w:tab w:val="left" w:pos="691"/>
        </w:tabs>
        <w:spacing w:line="360" w:lineRule="auto"/>
        <w:ind w:left="709"/>
        <w:jc w:val="both"/>
      </w:pPr>
      <w:r w:rsidRPr="008C27B8">
        <w:t>совместный прием с</w:t>
      </w:r>
      <w:r w:rsidR="00B80CBD" w:rsidRPr="008C27B8">
        <w:t xml:space="preserve"> </w:t>
      </w:r>
      <w:r w:rsidRPr="008C27B8">
        <w:t>другими лекарственными препаратами</w:t>
      </w:r>
      <w:r w:rsidR="00AA3F53" w:rsidRPr="008C27B8">
        <w:t>,</w:t>
      </w:r>
      <w:r w:rsidR="00B80CBD" w:rsidRPr="008C27B8">
        <w:t xml:space="preserve"> </w:t>
      </w:r>
      <w:r w:rsidRPr="008C27B8">
        <w:t xml:space="preserve">обладающими </w:t>
      </w:r>
      <w:r w:rsidR="00B80CBD" w:rsidRPr="008C27B8">
        <w:t>нефротоксическим действием</w:t>
      </w:r>
      <w:r w:rsidRPr="008C27B8">
        <w:t>, например,</w:t>
      </w:r>
      <w:r w:rsidR="00407A00" w:rsidRPr="008C27B8">
        <w:t xml:space="preserve"> </w:t>
      </w:r>
      <w:r w:rsidR="00B80CBD" w:rsidRPr="008C27B8">
        <w:t>аминогликозиды, амфотерицин В, фоскарнет, ганцикловир, пентамидин, ванкомицин, интерлейкин-2, цидофовир</w:t>
      </w:r>
      <w:r w:rsidRPr="008C27B8">
        <w:t>,</w:t>
      </w:r>
      <w:r w:rsidR="00B80CBD" w:rsidRPr="008C27B8">
        <w:t xml:space="preserve"> такролимус, нестероидные противовоспалительные препараты</w:t>
      </w:r>
      <w:r w:rsidRPr="008C27B8">
        <w:t>,</w:t>
      </w:r>
      <w:r w:rsidR="00B80CBD" w:rsidRPr="008C27B8">
        <w:t xml:space="preserve"> ингибиторы протеазы ВИЧ, </w:t>
      </w:r>
      <w:r w:rsidRPr="008C27B8">
        <w:t xml:space="preserve">бустированные </w:t>
      </w:r>
      <w:r w:rsidR="00B80CBD" w:rsidRPr="008C27B8">
        <w:t>ритонавиром или кобицистатом (см. разделы «Взаимодействие с другими лекарственными средствами» и «Особые указания»);</w:t>
      </w:r>
    </w:p>
    <w:p w14:paraId="5C619951" w14:textId="77777777" w:rsidR="00A95767" w:rsidRPr="008C27B8" w:rsidRDefault="00A95767" w:rsidP="00A77E51">
      <w:pPr>
        <w:numPr>
          <w:ilvl w:val="0"/>
          <w:numId w:val="16"/>
        </w:numPr>
        <w:tabs>
          <w:tab w:val="left" w:pos="691"/>
        </w:tabs>
        <w:spacing w:line="360" w:lineRule="auto"/>
        <w:ind w:left="709"/>
        <w:jc w:val="both"/>
      </w:pPr>
      <w:r w:rsidRPr="008C27B8">
        <w:t xml:space="preserve">совместный прием тенофовира дизопроксила </w:t>
      </w:r>
      <w:r w:rsidR="00407A00" w:rsidRPr="008C27B8">
        <w:t xml:space="preserve">фумарата </w:t>
      </w:r>
      <w:r w:rsidRPr="008C27B8">
        <w:t>с ледипасвиром/софосбувиром, велпатасвиром/софосбувиром или велпатасвиром/воксилапревиром/софосбувиром</w:t>
      </w:r>
      <w:r w:rsidR="00AA3F53" w:rsidRPr="008C27B8">
        <w:t>, особенно</w:t>
      </w:r>
      <w:r w:rsidRPr="008C27B8">
        <w:t xml:space="preserve"> при применении одновременно со схемой лечения ВИЧ-инфекции, содержащей тенофовира дизопроксила фумарат и фармакокинетический усилитель (бустер, например, ритонавир или кобицистат) (см. разделы «Взаимодействие с другими лекарственными средствами» и «Особые указания»);</w:t>
      </w:r>
    </w:p>
    <w:p w14:paraId="2743B170" w14:textId="77777777" w:rsidR="00B80CBD" w:rsidRPr="008C27B8" w:rsidRDefault="00B80CBD" w:rsidP="00A77E51">
      <w:pPr>
        <w:numPr>
          <w:ilvl w:val="0"/>
          <w:numId w:val="16"/>
        </w:numPr>
        <w:tabs>
          <w:tab w:val="left" w:pos="691"/>
        </w:tabs>
        <w:spacing w:line="360" w:lineRule="auto"/>
        <w:ind w:left="709"/>
        <w:jc w:val="both"/>
      </w:pPr>
      <w:r w:rsidRPr="008C27B8">
        <w:t xml:space="preserve">у пациентов с указанием на заболевание печени в анамнезе, включая гепатиты </w:t>
      </w:r>
      <w:r w:rsidR="008C27B8" w:rsidRPr="008C27B8">
        <w:br/>
      </w:r>
      <w:r w:rsidRPr="008C27B8">
        <w:t>(см. раздел «Особые указания»);</w:t>
      </w:r>
    </w:p>
    <w:p w14:paraId="6AFAD693" w14:textId="77777777" w:rsidR="00B80CBD" w:rsidRPr="008C27B8" w:rsidRDefault="00B80CBD" w:rsidP="00A77E51">
      <w:pPr>
        <w:numPr>
          <w:ilvl w:val="0"/>
          <w:numId w:val="16"/>
        </w:numPr>
        <w:tabs>
          <w:tab w:val="left" w:pos="691"/>
        </w:tabs>
        <w:spacing w:line="360" w:lineRule="auto"/>
        <w:ind w:left="709"/>
        <w:jc w:val="both"/>
      </w:pPr>
      <w:r w:rsidRPr="008C27B8">
        <w:t>совместный прием тенофовира</w:t>
      </w:r>
      <w:r w:rsidR="00A95767" w:rsidRPr="008C27B8">
        <w:t xml:space="preserve"> дизопроксила фумарата</w:t>
      </w:r>
      <w:r w:rsidRPr="008C27B8">
        <w:t xml:space="preserve"> и диданозина не рекомендован (см. разделы «Взаимодействие с другими лекарственными с</w:t>
      </w:r>
      <w:r w:rsidR="00F2223B" w:rsidRPr="008C27B8">
        <w:t>редствами» и «Особые указания»).</w:t>
      </w:r>
    </w:p>
    <w:p w14:paraId="3406AAC8" w14:textId="77777777" w:rsidR="004C501A" w:rsidRPr="002C47F5" w:rsidRDefault="009212C0" w:rsidP="00613C0A">
      <w:pPr>
        <w:tabs>
          <w:tab w:val="left" w:pos="3150"/>
        </w:tabs>
        <w:spacing w:before="120" w:line="360" w:lineRule="auto"/>
        <w:jc w:val="both"/>
        <w:rPr>
          <w:b/>
        </w:rPr>
      </w:pPr>
      <w:r w:rsidRPr="002C47F5">
        <w:rPr>
          <w:b/>
        </w:rPr>
        <w:t>Применение при беременности и в период грудного вскармливания</w:t>
      </w:r>
    </w:p>
    <w:p w14:paraId="7ED28B5A" w14:textId="77777777" w:rsidR="000D141D" w:rsidRPr="002C47F5" w:rsidRDefault="000D141D" w:rsidP="00A77E51">
      <w:pPr>
        <w:spacing w:line="360" w:lineRule="auto"/>
        <w:jc w:val="both"/>
        <w:rPr>
          <w:i/>
        </w:rPr>
      </w:pPr>
      <w:r w:rsidRPr="002C47F5">
        <w:rPr>
          <w:i/>
        </w:rPr>
        <w:t>Беременность</w:t>
      </w:r>
    </w:p>
    <w:p w14:paraId="6E38ED95" w14:textId="77777777" w:rsidR="000D141D" w:rsidRPr="002C47F5" w:rsidRDefault="006C07B0" w:rsidP="00A77E51">
      <w:pPr>
        <w:spacing w:line="360" w:lineRule="auto"/>
        <w:jc w:val="both"/>
      </w:pPr>
      <w:r w:rsidRPr="002C47F5">
        <w:t>Обширные данные</w:t>
      </w:r>
      <w:r w:rsidR="000D141D" w:rsidRPr="002C47F5">
        <w:t>, полученные у беременных (</w:t>
      </w:r>
      <w:r w:rsidRPr="002C47F5">
        <w:t>более</w:t>
      </w:r>
      <w:r w:rsidR="000D141D" w:rsidRPr="002C47F5">
        <w:t xml:space="preserve"> 1000</w:t>
      </w:r>
      <w:r w:rsidR="00704804" w:rsidRPr="002C47F5">
        <w:t> </w:t>
      </w:r>
      <w:r w:rsidR="000D141D" w:rsidRPr="002C47F5">
        <w:t>исходов беременности), указывают на отсутствие пороков развития или токсического воздействия на плод/новорожденного, которые были бы связаны с приемом тенофовира</w:t>
      </w:r>
      <w:r w:rsidRPr="002C47F5">
        <w:t xml:space="preserve"> дизопроксила фумарата</w:t>
      </w:r>
      <w:r w:rsidR="000D141D" w:rsidRPr="002C47F5">
        <w:t>. Исследования на животных не указывали на токсическое воздействие на репродуктивную функцию. Таким образом, при необходимости, может быть рассмотрена возможность применения тенофовира</w:t>
      </w:r>
      <w:r w:rsidR="00942FCA" w:rsidRPr="002C47F5">
        <w:t xml:space="preserve"> дизопроксила фумарата</w:t>
      </w:r>
      <w:r w:rsidR="000D141D" w:rsidRPr="002C47F5">
        <w:t xml:space="preserve"> во время беременности.</w:t>
      </w:r>
    </w:p>
    <w:p w14:paraId="18FF70EE" w14:textId="77777777" w:rsidR="000D141D" w:rsidRPr="002C47F5" w:rsidRDefault="000D141D" w:rsidP="00A77E51">
      <w:pPr>
        <w:spacing w:line="360" w:lineRule="auto"/>
        <w:jc w:val="both"/>
        <w:rPr>
          <w:i/>
        </w:rPr>
      </w:pPr>
      <w:r w:rsidRPr="002C47F5">
        <w:rPr>
          <w:i/>
        </w:rPr>
        <w:t>Период грудного вскармливания</w:t>
      </w:r>
    </w:p>
    <w:p w14:paraId="1A9C216C" w14:textId="77777777" w:rsidR="003F5691" w:rsidRPr="002C47F5" w:rsidRDefault="000D141D" w:rsidP="00A77E51">
      <w:pPr>
        <w:widowControl w:val="0"/>
        <w:spacing w:line="360" w:lineRule="auto"/>
        <w:jc w:val="both"/>
      </w:pPr>
      <w:r w:rsidRPr="002C47F5">
        <w:t xml:space="preserve">Исследования показали, что тенофовир выделяется в грудное молоко. Данные о влиянии </w:t>
      </w:r>
      <w:r w:rsidRPr="002C47F5">
        <w:lastRenderedPageBreak/>
        <w:t>тенофовира на новорожденных/детей</w:t>
      </w:r>
      <w:r w:rsidR="00B377B5" w:rsidRPr="002C47F5">
        <w:t xml:space="preserve"> младшего возраста</w:t>
      </w:r>
      <w:r w:rsidRPr="002C47F5">
        <w:t xml:space="preserve"> недостаточны. Поэтому препарат </w:t>
      </w:r>
      <w:r w:rsidR="002840C4" w:rsidRPr="002C47F5">
        <w:t>Тенофовир</w:t>
      </w:r>
      <w:r w:rsidR="00942FCA" w:rsidRPr="002C47F5">
        <w:t> </w:t>
      </w:r>
      <w:r w:rsidR="002840C4" w:rsidRPr="002C47F5">
        <w:t>ВМ</w:t>
      </w:r>
      <w:r w:rsidRPr="002C47F5">
        <w:t xml:space="preserve"> не следует применять в период кормления грудью.</w:t>
      </w:r>
    </w:p>
    <w:p w14:paraId="72BAE03B" w14:textId="77777777" w:rsidR="000D141D" w:rsidRPr="002C47F5" w:rsidRDefault="000D141D" w:rsidP="00A77E51">
      <w:pPr>
        <w:spacing w:line="360" w:lineRule="auto"/>
        <w:jc w:val="both"/>
      </w:pPr>
      <w:r w:rsidRPr="002C47F5">
        <w:t>В целом, женщинам, инфицированным ВИЧ и ВГВ, не рекомендуется кормить грудью во избежание передачи ВИЧ и ВГВ ребенку.</w:t>
      </w:r>
    </w:p>
    <w:p w14:paraId="063939E3" w14:textId="77777777" w:rsidR="00E9188E" w:rsidRPr="002C47F5" w:rsidRDefault="000A6448" w:rsidP="00942FCA">
      <w:pPr>
        <w:keepNext/>
        <w:spacing w:line="360" w:lineRule="auto"/>
        <w:jc w:val="both"/>
        <w:rPr>
          <w:i/>
        </w:rPr>
      </w:pPr>
      <w:r w:rsidRPr="002C47F5">
        <w:rPr>
          <w:i/>
        </w:rPr>
        <w:t>Фертильность</w:t>
      </w:r>
    </w:p>
    <w:p w14:paraId="5C6E7615" w14:textId="77777777" w:rsidR="00B377B5" w:rsidRPr="002C47F5" w:rsidRDefault="00E9188E" w:rsidP="00A77E51">
      <w:pPr>
        <w:spacing w:line="360" w:lineRule="auto"/>
        <w:jc w:val="both"/>
      </w:pPr>
      <w:r w:rsidRPr="002C47F5">
        <w:t xml:space="preserve">Не имеется </w:t>
      </w:r>
      <w:r w:rsidR="00B377B5" w:rsidRPr="002C47F5">
        <w:t xml:space="preserve">клинических </w:t>
      </w:r>
      <w:r w:rsidRPr="002C47F5">
        <w:t xml:space="preserve">данных о влиянии </w:t>
      </w:r>
      <w:r w:rsidR="00913732" w:rsidRPr="002C47F5">
        <w:t>тенофовира</w:t>
      </w:r>
      <w:r w:rsidR="00B377B5" w:rsidRPr="002C47F5">
        <w:t xml:space="preserve"> дизопроксила фумарата</w:t>
      </w:r>
      <w:r w:rsidRPr="002C47F5">
        <w:t xml:space="preserve"> на фертильность. Исследования у животных не указывают на вредное воздействие тенофовира </w:t>
      </w:r>
      <w:r w:rsidR="00B377B5" w:rsidRPr="002C47F5">
        <w:t xml:space="preserve">дизопроксила фумарата </w:t>
      </w:r>
      <w:r w:rsidRPr="002C47F5">
        <w:t>на фертильность.</w:t>
      </w:r>
    </w:p>
    <w:p w14:paraId="14B4DB73" w14:textId="77777777" w:rsidR="00D30276" w:rsidRPr="003A5777" w:rsidRDefault="004C501A" w:rsidP="00613C0A">
      <w:pPr>
        <w:spacing w:before="120" w:line="360" w:lineRule="auto"/>
        <w:jc w:val="both"/>
        <w:rPr>
          <w:b/>
        </w:rPr>
      </w:pPr>
      <w:r w:rsidRPr="003A5777">
        <w:rPr>
          <w:b/>
        </w:rPr>
        <w:t>Способ применения и дозы</w:t>
      </w:r>
    </w:p>
    <w:p w14:paraId="795379C1" w14:textId="77777777" w:rsidR="00EA0622" w:rsidRPr="003A5777" w:rsidRDefault="00EA0622" w:rsidP="00A77E51">
      <w:pPr>
        <w:spacing w:line="360" w:lineRule="auto"/>
        <w:jc w:val="both"/>
      </w:pPr>
      <w:r w:rsidRPr="003A5777">
        <w:t>Внутрь с едой. Таблетку необходимо проглатывать целиком, запивая водой. Таблетки нельзя разжевывать или разламывать.</w:t>
      </w:r>
    </w:p>
    <w:p w14:paraId="1272DD0C" w14:textId="77777777" w:rsidR="00EA0622" w:rsidRPr="003A5777" w:rsidRDefault="00EA0622" w:rsidP="00A77E51">
      <w:pPr>
        <w:spacing w:line="360" w:lineRule="auto"/>
        <w:jc w:val="both"/>
      </w:pPr>
      <w:r w:rsidRPr="003A5777">
        <w:t xml:space="preserve">Лечение должно начинаться и контролироваться врачом, имеющим опыт лечения </w:t>
      </w:r>
      <w:r w:rsidR="00704804" w:rsidRPr="003A5777">
        <w:br/>
      </w:r>
      <w:r w:rsidRPr="003A5777">
        <w:t>ВИЧ-инфекции и/или хронического гепатита</w:t>
      </w:r>
      <w:r w:rsidR="006B0EFD" w:rsidRPr="003A5777">
        <w:t> </w:t>
      </w:r>
      <w:r w:rsidRPr="003A5777">
        <w:t>В.</w:t>
      </w:r>
    </w:p>
    <w:p w14:paraId="5B96D99E" w14:textId="77777777" w:rsidR="00EA0622" w:rsidRPr="003A5777" w:rsidRDefault="00EA0622" w:rsidP="00A77E51">
      <w:pPr>
        <w:spacing w:line="360" w:lineRule="auto"/>
        <w:jc w:val="both"/>
      </w:pPr>
      <w:r w:rsidRPr="003A5777">
        <w:t xml:space="preserve">Выбор препарата </w:t>
      </w:r>
      <w:r w:rsidR="006B0EFD" w:rsidRPr="003A5777">
        <w:t>Тенофовир </w:t>
      </w:r>
      <w:r w:rsidR="002840C4" w:rsidRPr="003A5777">
        <w:t>ВМ</w:t>
      </w:r>
      <w:r w:rsidRPr="003A5777">
        <w:t xml:space="preserve"> для лечения ВИЧ-1-инфицированных пациентов, которые ранее получали лечение, должен основываться на проверке наличия индивидуальной вирусной резистентности и/или истории лечения пациента.</w:t>
      </w:r>
    </w:p>
    <w:p w14:paraId="45276E72" w14:textId="77777777" w:rsidR="00EA0622" w:rsidRPr="003A5777" w:rsidRDefault="00EA0622" w:rsidP="00A77E51">
      <w:pPr>
        <w:spacing w:line="360" w:lineRule="auto"/>
        <w:jc w:val="both"/>
      </w:pPr>
      <w:r w:rsidRPr="003A5777">
        <w:rPr>
          <w:i/>
          <w:iCs/>
        </w:rPr>
        <w:t>Взрослые</w:t>
      </w:r>
    </w:p>
    <w:p w14:paraId="14C4E269" w14:textId="77777777" w:rsidR="00EA0622" w:rsidRPr="003A5777" w:rsidRDefault="00EA0622" w:rsidP="00A77E51">
      <w:pPr>
        <w:spacing w:line="360" w:lineRule="auto"/>
        <w:jc w:val="both"/>
      </w:pPr>
      <w:r w:rsidRPr="003A5777">
        <w:t xml:space="preserve">Рекомендованная доза препарата </w:t>
      </w:r>
      <w:r w:rsidR="002840C4" w:rsidRPr="003A5777">
        <w:t>Тенофовир</w:t>
      </w:r>
      <w:r w:rsidR="006B0EFD" w:rsidRPr="003A5777">
        <w:t> </w:t>
      </w:r>
      <w:r w:rsidR="002840C4" w:rsidRPr="003A5777">
        <w:t>ВМ</w:t>
      </w:r>
      <w:r w:rsidRPr="003A5777">
        <w:t xml:space="preserve"> для лечения ВИЧ и хронического гепатита</w:t>
      </w:r>
      <w:r w:rsidR="006B0EFD" w:rsidRPr="003A5777">
        <w:t> </w:t>
      </w:r>
      <w:r w:rsidRPr="003A5777">
        <w:t xml:space="preserve">В </w:t>
      </w:r>
      <w:r w:rsidR="00F2223B" w:rsidRPr="003A5777">
        <w:noBreakHyphen/>
        <w:t xml:space="preserve"> </w:t>
      </w:r>
      <w:r w:rsidRPr="003A5777">
        <w:t xml:space="preserve">1 </w:t>
      </w:r>
      <w:proofErr w:type="gramStart"/>
      <w:r w:rsidRPr="003A5777">
        <w:t>таблетка  1</w:t>
      </w:r>
      <w:proofErr w:type="gramEnd"/>
      <w:r w:rsidR="00704804" w:rsidRPr="003A5777">
        <w:t> </w:t>
      </w:r>
      <w:r w:rsidRPr="003A5777">
        <w:t>раз в сутки внутрь, с едой.</w:t>
      </w:r>
    </w:p>
    <w:p w14:paraId="602E8533" w14:textId="77777777" w:rsidR="00EA0622" w:rsidRPr="003A5777" w:rsidRDefault="00EA0622" w:rsidP="00A77E51">
      <w:pPr>
        <w:spacing w:line="360" w:lineRule="auto"/>
        <w:jc w:val="both"/>
      </w:pPr>
      <w:r w:rsidRPr="003A5777">
        <w:rPr>
          <w:i/>
          <w:iCs/>
        </w:rPr>
        <w:t>Хронический гепатит</w:t>
      </w:r>
      <w:r w:rsidR="002205BC" w:rsidRPr="003A5777">
        <w:rPr>
          <w:i/>
          <w:iCs/>
        </w:rPr>
        <w:t> </w:t>
      </w:r>
      <w:r w:rsidRPr="003A5777">
        <w:rPr>
          <w:i/>
          <w:iCs/>
        </w:rPr>
        <w:t>В</w:t>
      </w:r>
    </w:p>
    <w:p w14:paraId="73B8D210" w14:textId="77777777" w:rsidR="00EA0622" w:rsidRPr="003A5777" w:rsidRDefault="00EA0622" w:rsidP="00A77E51">
      <w:pPr>
        <w:spacing w:line="360" w:lineRule="auto"/>
        <w:jc w:val="both"/>
      </w:pPr>
      <w:r w:rsidRPr="003A5777">
        <w:t>Оптимальная продолжительность лечения неизвестна. Вопрос о прекращении лечения может рассматриваться следующим образом:</w:t>
      </w:r>
    </w:p>
    <w:p w14:paraId="145F962B" w14:textId="77777777" w:rsidR="00EA0622" w:rsidRPr="003A5777" w:rsidRDefault="00EA0622" w:rsidP="00A77E51">
      <w:pPr>
        <w:numPr>
          <w:ilvl w:val="0"/>
          <w:numId w:val="22"/>
        </w:numPr>
        <w:spacing w:line="360" w:lineRule="auto"/>
        <w:jc w:val="both"/>
      </w:pPr>
      <w:r w:rsidRPr="003A5777">
        <w:t xml:space="preserve">Лечение </w:t>
      </w:r>
      <w:r w:rsidRPr="003A5777">
        <w:rPr>
          <w:lang w:val="en-US" w:eastAsia="en-US"/>
        </w:rPr>
        <w:t>HBeAg</w:t>
      </w:r>
      <w:r w:rsidRPr="003A5777">
        <w:t>-положительных пациентов без цирроза должно продолжаться не менее 6-12</w:t>
      </w:r>
      <w:r w:rsidR="00704804" w:rsidRPr="003A5777">
        <w:t> </w:t>
      </w:r>
      <w:r w:rsidRPr="003A5777">
        <w:t>мес</w:t>
      </w:r>
      <w:r w:rsidR="00307950" w:rsidRPr="003A5777">
        <w:t>яцев</w:t>
      </w:r>
      <w:r w:rsidRPr="003A5777">
        <w:t xml:space="preserve"> после подтверждения сероконверсии НВе (исчезновение </w:t>
      </w:r>
      <w:r w:rsidRPr="003A5777">
        <w:rPr>
          <w:lang w:val="en-US" w:eastAsia="en-US"/>
        </w:rPr>
        <w:t>HBeAg</w:t>
      </w:r>
      <w:r w:rsidRPr="003A5777">
        <w:rPr>
          <w:lang w:eastAsia="en-US"/>
        </w:rPr>
        <w:t xml:space="preserve"> </w:t>
      </w:r>
      <w:r w:rsidRPr="003A5777">
        <w:t xml:space="preserve">и ДНК ВГВ с появлением анти-НВе) или до сероконверсии </w:t>
      </w:r>
      <w:r w:rsidRPr="003A5777">
        <w:rPr>
          <w:lang w:val="en-US" w:eastAsia="en-US"/>
        </w:rPr>
        <w:t>HBs</w:t>
      </w:r>
      <w:r w:rsidRPr="003A5777">
        <w:rPr>
          <w:lang w:eastAsia="en-US"/>
        </w:rPr>
        <w:t xml:space="preserve">, </w:t>
      </w:r>
      <w:r w:rsidRPr="003A5777">
        <w:t xml:space="preserve">либо до потери эффективности. После прекращения лечения необходимо регулярно проверять </w:t>
      </w:r>
      <w:r w:rsidR="00B13495" w:rsidRPr="003A5777">
        <w:t>активность</w:t>
      </w:r>
      <w:r w:rsidRPr="003A5777">
        <w:t xml:space="preserve"> АЛТ и </w:t>
      </w:r>
      <w:r w:rsidR="00B13495" w:rsidRPr="003A5777">
        <w:t xml:space="preserve">уровень </w:t>
      </w:r>
      <w:r w:rsidRPr="003A5777">
        <w:t>ДНК вируса гепатита</w:t>
      </w:r>
      <w:r w:rsidR="002205BC" w:rsidRPr="003A5777">
        <w:t> </w:t>
      </w:r>
      <w:proofErr w:type="gramStart"/>
      <w:r w:rsidRPr="003A5777">
        <w:t>В в</w:t>
      </w:r>
      <w:proofErr w:type="gramEnd"/>
      <w:r w:rsidRPr="003A5777">
        <w:t xml:space="preserve"> сыворотке крови с целью выявления возможных поздних рецидивов виремии.</w:t>
      </w:r>
    </w:p>
    <w:p w14:paraId="3210A7E5" w14:textId="77777777" w:rsidR="00EA0622" w:rsidRPr="003A5777" w:rsidRDefault="00EA0622" w:rsidP="00A77E51">
      <w:pPr>
        <w:numPr>
          <w:ilvl w:val="0"/>
          <w:numId w:val="22"/>
        </w:numPr>
        <w:spacing w:line="360" w:lineRule="auto"/>
        <w:jc w:val="both"/>
      </w:pPr>
      <w:r w:rsidRPr="003A5777">
        <w:t xml:space="preserve">Лечение пациентов с </w:t>
      </w:r>
      <w:r w:rsidRPr="003A5777">
        <w:rPr>
          <w:lang w:val="en-US" w:eastAsia="en-US"/>
        </w:rPr>
        <w:t>HBeAg</w:t>
      </w:r>
      <w:r w:rsidRPr="003A5777">
        <w:t>-негативным гепатитом</w:t>
      </w:r>
      <w:r w:rsidR="002205BC" w:rsidRPr="003A5777">
        <w:t> </w:t>
      </w:r>
      <w:proofErr w:type="gramStart"/>
      <w:r w:rsidRPr="003A5777">
        <w:t>В без</w:t>
      </w:r>
      <w:proofErr w:type="gramEnd"/>
      <w:r w:rsidRPr="003A5777">
        <w:t xml:space="preserve"> цирроза должно продолжаться, как минимум, до сероконверсии </w:t>
      </w:r>
      <w:r w:rsidRPr="003A5777">
        <w:rPr>
          <w:lang w:val="en-US" w:eastAsia="en-US"/>
        </w:rPr>
        <w:t>HBs</w:t>
      </w:r>
      <w:r w:rsidRPr="003A5777">
        <w:rPr>
          <w:lang w:eastAsia="en-US"/>
        </w:rPr>
        <w:t xml:space="preserve"> </w:t>
      </w:r>
      <w:r w:rsidRPr="003A5777">
        <w:t>или появления признаков неэффективности лечения. В случае пролонгированного лечения, продолжающегося более 2</w:t>
      </w:r>
      <w:r w:rsidR="00704804" w:rsidRPr="003A5777">
        <w:t> </w:t>
      </w:r>
      <w:r w:rsidRPr="003A5777">
        <w:t>лет, рекомендуется регулярно проводить повторный пересмотр лечения, чтобы подтвердить приемлемость для пациента продолжения выбранной терапии.</w:t>
      </w:r>
    </w:p>
    <w:p w14:paraId="4405BF7A" w14:textId="77777777" w:rsidR="00EA0622" w:rsidRPr="003A5777" w:rsidRDefault="00EA0622" w:rsidP="00A77E51">
      <w:pPr>
        <w:spacing w:line="360" w:lineRule="auto"/>
        <w:jc w:val="both"/>
      </w:pPr>
      <w:r w:rsidRPr="003A5777">
        <w:rPr>
          <w:i/>
          <w:iCs/>
        </w:rPr>
        <w:t>Дети от 12 до 18</w:t>
      </w:r>
      <w:r w:rsidR="00B13495" w:rsidRPr="003A5777">
        <w:rPr>
          <w:i/>
          <w:iCs/>
        </w:rPr>
        <w:t> </w:t>
      </w:r>
      <w:r w:rsidRPr="003A5777">
        <w:rPr>
          <w:i/>
          <w:iCs/>
        </w:rPr>
        <w:t>лет</w:t>
      </w:r>
    </w:p>
    <w:p w14:paraId="2B8F8982" w14:textId="77777777" w:rsidR="00FF25A7" w:rsidRPr="003A5777" w:rsidRDefault="00EA0622" w:rsidP="00A77E51">
      <w:pPr>
        <w:spacing w:line="360" w:lineRule="auto"/>
        <w:jc w:val="both"/>
      </w:pPr>
      <w:r w:rsidRPr="003A5777">
        <w:rPr>
          <w:i/>
          <w:iCs/>
        </w:rPr>
        <w:lastRenderedPageBreak/>
        <w:t xml:space="preserve">ВИЧ-1: </w:t>
      </w:r>
      <w:r w:rsidRPr="003A5777">
        <w:t>в возрасте от 12 до 18</w:t>
      </w:r>
      <w:r w:rsidR="00B13495" w:rsidRPr="003A5777">
        <w:t> </w:t>
      </w:r>
      <w:r w:rsidRPr="003A5777">
        <w:t>лет и с массой тела ≥35</w:t>
      </w:r>
      <w:r w:rsidR="00B13495" w:rsidRPr="003A5777">
        <w:t> </w:t>
      </w:r>
      <w:r w:rsidRPr="003A5777">
        <w:t xml:space="preserve">кг рекомендованная доза препарата </w:t>
      </w:r>
      <w:r w:rsidR="002840C4" w:rsidRPr="003A5777">
        <w:t>Тенофовир</w:t>
      </w:r>
      <w:r w:rsidR="00D42A12" w:rsidRPr="003A5777">
        <w:t> </w:t>
      </w:r>
      <w:r w:rsidR="002840C4" w:rsidRPr="003A5777">
        <w:t>ВМ</w:t>
      </w:r>
      <w:r w:rsidRPr="003A5777">
        <w:t xml:space="preserve"> составляет 1</w:t>
      </w:r>
      <w:r w:rsidR="00B13495" w:rsidRPr="003A5777">
        <w:t> </w:t>
      </w:r>
      <w:r w:rsidRPr="003A5777">
        <w:t>таблетка 1</w:t>
      </w:r>
      <w:r w:rsidR="00B13495" w:rsidRPr="003A5777">
        <w:t> </w:t>
      </w:r>
      <w:r w:rsidRPr="003A5777">
        <w:t>раз в сутки внутрь, с едой</w:t>
      </w:r>
      <w:r w:rsidR="00FF25A7" w:rsidRPr="003A5777">
        <w:t xml:space="preserve"> (см. раздел «Побочное действие»)</w:t>
      </w:r>
      <w:r w:rsidRPr="003A5777">
        <w:t>. Таблетку необходимо проглатывать целиком, запивая водой. Таблетки нельзя разжевывать или разламывать.</w:t>
      </w:r>
    </w:p>
    <w:p w14:paraId="3C9B0011" w14:textId="77777777" w:rsidR="00EA0622" w:rsidRPr="003A5777" w:rsidRDefault="00EA0622" w:rsidP="00A77E51">
      <w:pPr>
        <w:spacing w:line="360" w:lineRule="auto"/>
        <w:jc w:val="both"/>
      </w:pPr>
      <w:r w:rsidRPr="003A5777">
        <w:t xml:space="preserve">В исключительных случаях таблетку препарата </w:t>
      </w:r>
      <w:r w:rsidR="002840C4" w:rsidRPr="003A5777">
        <w:t>Тенофовир</w:t>
      </w:r>
      <w:r w:rsidR="00D42A12" w:rsidRPr="003A5777">
        <w:t> </w:t>
      </w:r>
      <w:r w:rsidR="002840C4" w:rsidRPr="003A5777">
        <w:t>ВМ</w:t>
      </w:r>
      <w:r w:rsidRPr="003A5777">
        <w:t xml:space="preserve"> можно принять сразу после ее растворения в приблизительно 100</w:t>
      </w:r>
      <w:r w:rsidR="00B13495" w:rsidRPr="003A5777">
        <w:t> </w:t>
      </w:r>
      <w:r w:rsidRPr="003A5777">
        <w:t>мл воды, апельсинового или виноградного сока.</w:t>
      </w:r>
    </w:p>
    <w:p w14:paraId="215E5CBA" w14:textId="77777777" w:rsidR="00FF25A7" w:rsidRPr="003A5777" w:rsidRDefault="00EA0622" w:rsidP="00A77E51">
      <w:pPr>
        <w:spacing w:line="360" w:lineRule="auto"/>
        <w:jc w:val="both"/>
      </w:pPr>
      <w:r w:rsidRPr="003A5777">
        <w:rPr>
          <w:i/>
          <w:iCs/>
        </w:rPr>
        <w:t>Хронический гепатит</w:t>
      </w:r>
      <w:r w:rsidR="002205BC" w:rsidRPr="003A5777">
        <w:rPr>
          <w:i/>
          <w:iCs/>
        </w:rPr>
        <w:t> </w:t>
      </w:r>
      <w:r w:rsidRPr="003A5777">
        <w:rPr>
          <w:i/>
          <w:iCs/>
        </w:rPr>
        <w:t xml:space="preserve">В: </w:t>
      </w:r>
      <w:r w:rsidRPr="003A5777">
        <w:t>в возрасте от 12 до 18</w:t>
      </w:r>
      <w:r w:rsidR="00B13495" w:rsidRPr="003A5777">
        <w:t> </w:t>
      </w:r>
      <w:r w:rsidRPr="003A5777">
        <w:t>лет и с массой тела ≥35</w:t>
      </w:r>
      <w:r w:rsidR="00B13495" w:rsidRPr="003A5777">
        <w:t> </w:t>
      </w:r>
      <w:r w:rsidRPr="003A5777">
        <w:t xml:space="preserve">кг рекомендованная доза препарата </w:t>
      </w:r>
      <w:r w:rsidR="002840C4" w:rsidRPr="003A5777">
        <w:t>Тенофовир</w:t>
      </w:r>
      <w:r w:rsidR="00D42A12" w:rsidRPr="003A5777">
        <w:t> </w:t>
      </w:r>
      <w:r w:rsidR="002840C4" w:rsidRPr="003A5777">
        <w:t>ВМ</w:t>
      </w:r>
      <w:r w:rsidRPr="003A5777">
        <w:t xml:space="preserve"> составляет 1</w:t>
      </w:r>
      <w:r w:rsidR="00B13495" w:rsidRPr="003A5777">
        <w:t> </w:t>
      </w:r>
      <w:r w:rsidRPr="003A5777">
        <w:t>таблетка 1</w:t>
      </w:r>
      <w:r w:rsidR="00B13495" w:rsidRPr="003A5777">
        <w:t> </w:t>
      </w:r>
      <w:r w:rsidRPr="003A5777">
        <w:t>раз в сутки внутрь, с едой</w:t>
      </w:r>
      <w:r w:rsidR="00FF25A7" w:rsidRPr="003A5777">
        <w:t xml:space="preserve"> (см. раздел «Побочное действие»)</w:t>
      </w:r>
      <w:r w:rsidRPr="003A5777">
        <w:t>.</w:t>
      </w:r>
    </w:p>
    <w:p w14:paraId="3C180929" w14:textId="77777777" w:rsidR="00EA0622" w:rsidRPr="003A5777" w:rsidRDefault="00EA0622" w:rsidP="00A77E51">
      <w:pPr>
        <w:spacing w:line="360" w:lineRule="auto"/>
        <w:jc w:val="both"/>
      </w:pPr>
      <w:r w:rsidRPr="003A5777">
        <w:t>Оптимальная продолжительность лечения пока не установлена.</w:t>
      </w:r>
    </w:p>
    <w:p w14:paraId="01244F94" w14:textId="77777777" w:rsidR="00EA0622" w:rsidRPr="003A5777" w:rsidRDefault="00EA0622" w:rsidP="00A77E51">
      <w:pPr>
        <w:spacing w:line="360" w:lineRule="auto"/>
        <w:jc w:val="both"/>
      </w:pPr>
      <w:r w:rsidRPr="003A5777">
        <w:t>Безопасность и эффективность тенофовира</w:t>
      </w:r>
      <w:r w:rsidR="00B13495" w:rsidRPr="003A5777">
        <w:t xml:space="preserve"> дизопроксила фумарата</w:t>
      </w:r>
      <w:r w:rsidRPr="003A5777">
        <w:t xml:space="preserve"> у детей с хроническим гепатитом</w:t>
      </w:r>
      <w:r w:rsidR="002205BC" w:rsidRPr="003A5777">
        <w:t> </w:t>
      </w:r>
      <w:proofErr w:type="gramStart"/>
      <w:r w:rsidRPr="003A5777">
        <w:t>В в</w:t>
      </w:r>
      <w:proofErr w:type="gramEnd"/>
      <w:r w:rsidRPr="003A5777">
        <w:t xml:space="preserve"> возрасте от 2 до 12</w:t>
      </w:r>
      <w:r w:rsidR="00B13495" w:rsidRPr="003A5777">
        <w:t> </w:t>
      </w:r>
      <w:r w:rsidRPr="003A5777">
        <w:t>лет и с массой тела &lt;35</w:t>
      </w:r>
      <w:r w:rsidR="00B13495" w:rsidRPr="003A5777">
        <w:t> </w:t>
      </w:r>
      <w:r w:rsidRPr="003A5777">
        <w:t>кг не установлены.</w:t>
      </w:r>
    </w:p>
    <w:p w14:paraId="690D8088" w14:textId="77777777" w:rsidR="00EA0622" w:rsidRPr="003A5777" w:rsidRDefault="00EA0622" w:rsidP="00A77E51">
      <w:pPr>
        <w:keepNext/>
        <w:spacing w:line="360" w:lineRule="auto"/>
        <w:jc w:val="both"/>
      </w:pPr>
      <w:r w:rsidRPr="003A5777">
        <w:rPr>
          <w:i/>
          <w:iCs/>
        </w:rPr>
        <w:t>Пропущенная доза</w:t>
      </w:r>
    </w:p>
    <w:p w14:paraId="4608E236" w14:textId="77777777" w:rsidR="00EA0622" w:rsidRPr="003A5777" w:rsidRDefault="00EA0622" w:rsidP="00A77E51">
      <w:pPr>
        <w:spacing w:line="360" w:lineRule="auto"/>
        <w:jc w:val="both"/>
      </w:pPr>
      <w:r w:rsidRPr="003A5777">
        <w:t>Если прием дозы был пропущен, и прошло менее 12</w:t>
      </w:r>
      <w:r w:rsidR="00B13495" w:rsidRPr="003A5777">
        <w:t> </w:t>
      </w:r>
      <w:r w:rsidRPr="003A5777">
        <w:t xml:space="preserve">ч от обычного времени приема дозы, то пациенту следует как можно скорее принять препарат </w:t>
      </w:r>
      <w:r w:rsidR="002840C4" w:rsidRPr="003A5777">
        <w:t>Тенофовир</w:t>
      </w:r>
      <w:r w:rsidR="00D42A12" w:rsidRPr="003A5777">
        <w:t> </w:t>
      </w:r>
      <w:r w:rsidR="002840C4" w:rsidRPr="003A5777">
        <w:t>ВМ</w:t>
      </w:r>
      <w:r w:rsidRPr="003A5777">
        <w:t xml:space="preserve"> вместе с едой и вернуться к обычному режиму приема препарата. Если в случае пропущенного приема дозы прошло более 12</w:t>
      </w:r>
      <w:r w:rsidR="00B13495" w:rsidRPr="003A5777">
        <w:t> ч</w:t>
      </w:r>
      <w:r w:rsidRPr="003A5777">
        <w:t xml:space="preserve"> и приближается время приема следующей дозы препарата, то пациенту не следует принимать пропущенную дозу, а принять очередную дозу в соответствии с обычным режимом приема препарата.</w:t>
      </w:r>
    </w:p>
    <w:p w14:paraId="5DDAF9C6" w14:textId="77777777" w:rsidR="00EA0622" w:rsidRPr="003A5777" w:rsidRDefault="00EA0622" w:rsidP="00A77E51">
      <w:pPr>
        <w:spacing w:line="360" w:lineRule="auto"/>
        <w:jc w:val="both"/>
      </w:pPr>
      <w:r w:rsidRPr="003A5777">
        <w:t>Если в течение 1</w:t>
      </w:r>
      <w:r w:rsidR="00B13495" w:rsidRPr="003A5777">
        <w:t> ч</w:t>
      </w:r>
      <w:r w:rsidRPr="003A5777">
        <w:t xml:space="preserve"> после приема препарата </w:t>
      </w:r>
      <w:r w:rsidR="002840C4" w:rsidRPr="003A5777">
        <w:t>Тенофовир</w:t>
      </w:r>
      <w:r w:rsidR="00D42A12" w:rsidRPr="003A5777">
        <w:t> </w:t>
      </w:r>
      <w:r w:rsidR="002840C4" w:rsidRPr="003A5777">
        <w:t>ВМ</w:t>
      </w:r>
      <w:r w:rsidRPr="003A5777">
        <w:t xml:space="preserve"> у пациента возникла рвота, следует принять еще 1</w:t>
      </w:r>
      <w:r w:rsidR="00B13495" w:rsidRPr="003A5777">
        <w:t> </w:t>
      </w:r>
      <w:r w:rsidRPr="003A5777">
        <w:t>таблетку. Если рвота у пациента возникла более чем через 1</w:t>
      </w:r>
      <w:r w:rsidR="00B13495" w:rsidRPr="003A5777">
        <w:t> ч</w:t>
      </w:r>
      <w:r w:rsidRPr="003A5777">
        <w:t xml:space="preserve"> после приема препарата </w:t>
      </w:r>
      <w:r w:rsidR="002840C4" w:rsidRPr="003A5777">
        <w:t>Тенофовир</w:t>
      </w:r>
      <w:r w:rsidR="00D42A12" w:rsidRPr="003A5777">
        <w:t> </w:t>
      </w:r>
      <w:r w:rsidR="002840C4" w:rsidRPr="003A5777">
        <w:t>ВМ</w:t>
      </w:r>
      <w:r w:rsidRPr="003A5777">
        <w:t>, то еще 1</w:t>
      </w:r>
      <w:r w:rsidR="00B13495" w:rsidRPr="003A5777">
        <w:t> </w:t>
      </w:r>
      <w:r w:rsidRPr="003A5777">
        <w:t>таблетку принимать не следует</w:t>
      </w:r>
      <w:r w:rsidR="00F2223B" w:rsidRPr="003A5777">
        <w:t>.</w:t>
      </w:r>
    </w:p>
    <w:p w14:paraId="34ACF7B3" w14:textId="77777777" w:rsidR="00EA0622" w:rsidRPr="008F4FDC" w:rsidRDefault="00EA0622" w:rsidP="00A77E51">
      <w:pPr>
        <w:spacing w:line="360" w:lineRule="auto"/>
        <w:jc w:val="both"/>
        <w:rPr>
          <w:i/>
          <w:u w:val="single"/>
        </w:rPr>
      </w:pPr>
      <w:r w:rsidRPr="008F4FDC">
        <w:rPr>
          <w:i/>
          <w:u w:val="single"/>
        </w:rPr>
        <w:t>Особые группы пациентов</w:t>
      </w:r>
    </w:p>
    <w:p w14:paraId="6AA74E8A" w14:textId="77777777" w:rsidR="00EA0622" w:rsidRPr="008978B6" w:rsidRDefault="00EA0622" w:rsidP="00A77E51">
      <w:pPr>
        <w:spacing w:line="360" w:lineRule="auto"/>
        <w:jc w:val="both"/>
      </w:pPr>
      <w:r w:rsidRPr="008978B6">
        <w:rPr>
          <w:i/>
          <w:iCs/>
        </w:rPr>
        <w:t>Пациенты пожилого возраста</w:t>
      </w:r>
    </w:p>
    <w:p w14:paraId="2F7CED09" w14:textId="77777777" w:rsidR="00EA0622" w:rsidRPr="008978B6" w:rsidRDefault="00EA0622" w:rsidP="00A77E51">
      <w:pPr>
        <w:spacing w:line="360" w:lineRule="auto"/>
        <w:jc w:val="both"/>
      </w:pPr>
      <w:r w:rsidRPr="008978B6">
        <w:t>На сегодняшний день нет данных, на основании которых можно дать рекомендации относительно дозирования для пациентов в возрасте старше 65</w:t>
      </w:r>
      <w:r w:rsidR="00B13495" w:rsidRPr="008978B6">
        <w:t> </w:t>
      </w:r>
      <w:r w:rsidRPr="008978B6">
        <w:t>лет</w:t>
      </w:r>
      <w:r w:rsidR="00322DD8" w:rsidRPr="008978B6">
        <w:t xml:space="preserve"> (см. раздел «Особые указания»)</w:t>
      </w:r>
      <w:r w:rsidRPr="008978B6">
        <w:t>.</w:t>
      </w:r>
    </w:p>
    <w:p w14:paraId="669E3122" w14:textId="77777777" w:rsidR="00EA0622" w:rsidRPr="008978B6" w:rsidRDefault="00EA0622" w:rsidP="00A77E51">
      <w:pPr>
        <w:spacing w:line="360" w:lineRule="auto"/>
        <w:jc w:val="both"/>
      </w:pPr>
      <w:r w:rsidRPr="008978B6">
        <w:rPr>
          <w:i/>
          <w:iCs/>
        </w:rPr>
        <w:t>Нарушения функции почек</w:t>
      </w:r>
    </w:p>
    <w:p w14:paraId="5DCFCE66" w14:textId="77777777" w:rsidR="00EA0622" w:rsidRPr="008978B6" w:rsidRDefault="00EA0622" w:rsidP="00A77E51">
      <w:pPr>
        <w:spacing w:line="360" w:lineRule="auto"/>
        <w:jc w:val="both"/>
      </w:pPr>
      <w:r w:rsidRPr="008978B6">
        <w:t>Тенофовир выводится из организма с мочой, поэтому у пациентов с нарушением функции почек отмечается более длительный период выведения тенофовира из организма.</w:t>
      </w:r>
    </w:p>
    <w:p w14:paraId="082E1239" w14:textId="77777777" w:rsidR="00EA0622" w:rsidRPr="008978B6" w:rsidRDefault="00EA0622" w:rsidP="00A77E51">
      <w:pPr>
        <w:spacing w:line="360" w:lineRule="auto"/>
        <w:jc w:val="both"/>
      </w:pPr>
      <w:r w:rsidRPr="008978B6">
        <w:rPr>
          <w:i/>
          <w:iCs/>
        </w:rPr>
        <w:t>Взрослые</w:t>
      </w:r>
    </w:p>
    <w:p w14:paraId="6A7DCF26" w14:textId="77777777" w:rsidR="00EA0622" w:rsidRPr="008978B6" w:rsidRDefault="00EA0622" w:rsidP="00A77E51">
      <w:pPr>
        <w:spacing w:line="360" w:lineRule="auto"/>
        <w:jc w:val="both"/>
      </w:pPr>
      <w:r w:rsidRPr="008978B6">
        <w:t>Данные о безопасности и эффективности применения тенофовира</w:t>
      </w:r>
      <w:r w:rsidR="00322DD8" w:rsidRPr="008978B6">
        <w:t xml:space="preserve"> дизопроксила фумарата</w:t>
      </w:r>
      <w:r w:rsidRPr="008978B6">
        <w:t xml:space="preserve"> у взрослых пациентов с нарушением функции почек средней и тяжелой степени (КК</w:t>
      </w:r>
      <w:r w:rsidR="00B13495" w:rsidRPr="008978B6">
        <w:t> </w:t>
      </w:r>
      <w:r w:rsidR="00471C1E" w:rsidRPr="008978B6">
        <w:t>&lt;</w:t>
      </w:r>
      <w:r w:rsidR="00A60A4B" w:rsidRPr="008978B6">
        <w:t>50 </w:t>
      </w:r>
      <w:r w:rsidRPr="008978B6">
        <w:t>мл/мин) ограничены. Оценка показателей безопасности у пациентов с легким нарушением функции почек (</w:t>
      </w:r>
      <w:r w:rsidR="00A60A4B" w:rsidRPr="008978B6">
        <w:t xml:space="preserve">КК </w:t>
      </w:r>
      <w:r w:rsidRPr="008978B6">
        <w:t>50-80</w:t>
      </w:r>
      <w:r w:rsidR="00B13495" w:rsidRPr="008978B6">
        <w:t> </w:t>
      </w:r>
      <w:r w:rsidRPr="008978B6">
        <w:t xml:space="preserve">мл/мин) в долгосрочной перспективе не </w:t>
      </w:r>
      <w:r w:rsidRPr="008978B6">
        <w:lastRenderedPageBreak/>
        <w:t>проводилась. По этой причине пациентам с нарушениями функции почек тенофовир</w:t>
      </w:r>
      <w:r w:rsidR="00322DD8" w:rsidRPr="008978B6">
        <w:t xml:space="preserve">а дизопроксила фумарат </w:t>
      </w:r>
      <w:r w:rsidRPr="008978B6">
        <w:t>необходимо применять в тех случаях, когда потенциальная польза от лечения превышает потенциальный риск нанесения вреда.</w:t>
      </w:r>
      <w:r w:rsidR="00776465" w:rsidRPr="008978B6">
        <w:t xml:space="preserve"> </w:t>
      </w:r>
      <w:r w:rsidRPr="008978B6">
        <w:t xml:space="preserve">Коррекция интервала дозирования рекомендуется для пациентов с </w:t>
      </w:r>
      <w:r w:rsidR="00B67A8E" w:rsidRPr="008978B6">
        <w:t>КК &lt;</w:t>
      </w:r>
      <w:r w:rsidRPr="008978B6">
        <w:t>50</w:t>
      </w:r>
      <w:r w:rsidR="00B13495" w:rsidRPr="008978B6">
        <w:t> </w:t>
      </w:r>
      <w:r w:rsidRPr="008978B6">
        <w:t>мл/мин</w:t>
      </w:r>
      <w:r w:rsidR="00322DD8" w:rsidRPr="008978B6">
        <w:t xml:space="preserve">, </w:t>
      </w:r>
      <w:r w:rsidR="002840C4" w:rsidRPr="008978B6">
        <w:t>в т.ч.</w:t>
      </w:r>
      <w:r w:rsidR="00322DD8" w:rsidRPr="008978B6">
        <w:t xml:space="preserve"> у пациентов на гемодиализе</w:t>
      </w:r>
      <w:r w:rsidRPr="008978B6">
        <w:t>.</w:t>
      </w:r>
    </w:p>
    <w:p w14:paraId="7780D8B7" w14:textId="77777777" w:rsidR="00322DD8" w:rsidRPr="008978B6" w:rsidRDefault="00EA0622" w:rsidP="00A77E51">
      <w:pPr>
        <w:spacing w:line="360" w:lineRule="auto"/>
        <w:jc w:val="both"/>
        <w:rPr>
          <w:i/>
          <w:iCs/>
        </w:rPr>
      </w:pPr>
      <w:r w:rsidRPr="008978B6">
        <w:rPr>
          <w:i/>
          <w:iCs/>
        </w:rPr>
        <w:t>Нарушение функции почек легкой степени (КК 50-80</w:t>
      </w:r>
      <w:r w:rsidR="00EF044D" w:rsidRPr="008978B6">
        <w:rPr>
          <w:i/>
          <w:iCs/>
        </w:rPr>
        <w:t> мл/мин)</w:t>
      </w:r>
    </w:p>
    <w:p w14:paraId="2506E49C" w14:textId="77777777" w:rsidR="00EA0622" w:rsidRPr="008978B6" w:rsidRDefault="00EA0622" w:rsidP="00A77E51">
      <w:pPr>
        <w:spacing w:line="360" w:lineRule="auto"/>
        <w:jc w:val="both"/>
      </w:pPr>
      <w:r w:rsidRPr="008978B6">
        <w:t>Ограниченные данные, полученные в результате клинических исследований</w:t>
      </w:r>
      <w:r w:rsidR="00471C1E" w:rsidRPr="008978B6">
        <w:t xml:space="preserve"> (КИ)</w:t>
      </w:r>
      <w:r w:rsidRPr="008978B6">
        <w:t>, свидетельствуют в пользу сохранения для пациентов с незначительным нарушением функции почек режима дозирования тенофовира</w:t>
      </w:r>
      <w:r w:rsidR="00322DD8" w:rsidRPr="008978B6">
        <w:t xml:space="preserve"> дизопроксила фумарата 300</w:t>
      </w:r>
      <w:r w:rsidR="00EF044D" w:rsidRPr="008978B6">
        <w:t> </w:t>
      </w:r>
      <w:r w:rsidR="00322DD8" w:rsidRPr="008978B6">
        <w:t>мг</w:t>
      </w:r>
      <w:r w:rsidRPr="008978B6">
        <w:t xml:space="preserve"> </w:t>
      </w:r>
      <w:r w:rsidR="00EF044D" w:rsidRPr="008978B6">
        <w:t>1 </w:t>
      </w:r>
      <w:r w:rsidRPr="008978B6">
        <w:t>раз в сутки.</w:t>
      </w:r>
    </w:p>
    <w:p w14:paraId="147CFF87" w14:textId="77777777" w:rsidR="00322DD8" w:rsidRPr="008978B6" w:rsidRDefault="00EA0622" w:rsidP="00A77E51">
      <w:pPr>
        <w:spacing w:line="360" w:lineRule="auto"/>
        <w:jc w:val="both"/>
        <w:rPr>
          <w:i/>
          <w:iCs/>
        </w:rPr>
      </w:pPr>
      <w:r w:rsidRPr="008978B6">
        <w:rPr>
          <w:i/>
          <w:iCs/>
        </w:rPr>
        <w:t>Нарушение функции почек средней степени (КК 30-49</w:t>
      </w:r>
      <w:r w:rsidR="00EF044D" w:rsidRPr="008978B6">
        <w:rPr>
          <w:i/>
          <w:iCs/>
        </w:rPr>
        <w:t> мл/мин)</w:t>
      </w:r>
    </w:p>
    <w:p w14:paraId="1A63A321" w14:textId="77777777" w:rsidR="00EB19A3" w:rsidRPr="008978B6" w:rsidRDefault="00322DD8" w:rsidP="00A77E51">
      <w:pPr>
        <w:spacing w:line="360" w:lineRule="auto"/>
        <w:jc w:val="both"/>
      </w:pPr>
      <w:r w:rsidRPr="008978B6">
        <w:t>Рекомендуется п</w:t>
      </w:r>
      <w:r w:rsidR="00EA0622" w:rsidRPr="008978B6">
        <w:t>рием 1</w:t>
      </w:r>
      <w:r w:rsidR="00EF044D" w:rsidRPr="008978B6">
        <w:t> </w:t>
      </w:r>
      <w:r w:rsidR="00EA0622" w:rsidRPr="008978B6">
        <w:t xml:space="preserve">таблетки препарата </w:t>
      </w:r>
      <w:r w:rsidR="002840C4" w:rsidRPr="008978B6">
        <w:t>Тенофовир</w:t>
      </w:r>
      <w:r w:rsidR="00D42A12" w:rsidRPr="008978B6">
        <w:t> </w:t>
      </w:r>
      <w:r w:rsidR="002840C4" w:rsidRPr="008978B6">
        <w:t>ВМ</w:t>
      </w:r>
      <w:r w:rsidR="00EA0622" w:rsidRPr="008978B6">
        <w:t xml:space="preserve"> каждые 48</w:t>
      </w:r>
      <w:r w:rsidR="00EF044D" w:rsidRPr="008978B6">
        <w:t> </w:t>
      </w:r>
      <w:r w:rsidR="00EA0622" w:rsidRPr="008978B6">
        <w:t xml:space="preserve">ч </w:t>
      </w:r>
      <w:r w:rsidRPr="008978B6">
        <w:t>на основании</w:t>
      </w:r>
      <w:r w:rsidR="00EA0622" w:rsidRPr="008978B6">
        <w:t xml:space="preserve"> </w:t>
      </w:r>
      <w:r w:rsidRPr="008978B6">
        <w:t xml:space="preserve">результатов </w:t>
      </w:r>
      <w:r w:rsidR="00EA0622" w:rsidRPr="008978B6">
        <w:t xml:space="preserve">моделирования фармакокинетических данных разовой дозы у добровольцев, не имеющих инфекции ВИЧ и ВГВ, с разной степенью нарушения функции почек, </w:t>
      </w:r>
      <w:r w:rsidR="002840C4" w:rsidRPr="008978B6">
        <w:t>в т.ч.</w:t>
      </w:r>
      <w:r w:rsidR="00EA0622" w:rsidRPr="008978B6">
        <w:t xml:space="preserve"> с терминальной стадией почечной недостаточности, требующей гемодиализа. Однако такое дозирование не было подтверждено в рамках </w:t>
      </w:r>
      <w:r w:rsidR="00471C1E" w:rsidRPr="008978B6">
        <w:t>КИ</w:t>
      </w:r>
      <w:r w:rsidR="00EA0622" w:rsidRPr="008978B6">
        <w:t xml:space="preserve">. Поэтому </w:t>
      </w:r>
      <w:r w:rsidR="00BA077C" w:rsidRPr="008978B6">
        <w:t xml:space="preserve">у таких пациентов необходимо внимательно контролировать </w:t>
      </w:r>
      <w:r w:rsidR="00EA0622" w:rsidRPr="008978B6">
        <w:t xml:space="preserve">клинический ответ на лечение и функцию почек </w:t>
      </w:r>
      <w:r w:rsidR="00E23325">
        <w:br/>
      </w:r>
      <w:r w:rsidR="00BA077C" w:rsidRPr="008978B6">
        <w:t>(см. разделы «Фармакокинетика» и «Особые указания»)</w:t>
      </w:r>
      <w:r w:rsidR="00EA0622" w:rsidRPr="008978B6">
        <w:t>.</w:t>
      </w:r>
    </w:p>
    <w:p w14:paraId="7B75EE98" w14:textId="77777777" w:rsidR="00BA077C" w:rsidRPr="00A24818" w:rsidRDefault="00EA0622" w:rsidP="00A77E51">
      <w:pPr>
        <w:spacing w:line="360" w:lineRule="auto"/>
        <w:jc w:val="both"/>
        <w:rPr>
          <w:i/>
          <w:iCs/>
        </w:rPr>
      </w:pPr>
      <w:r w:rsidRPr="00A24818">
        <w:rPr>
          <w:i/>
          <w:iCs/>
        </w:rPr>
        <w:t>Нарушение функции почек тяжелой степени (КК</w:t>
      </w:r>
      <w:r w:rsidR="00EF044D" w:rsidRPr="00A24818">
        <w:rPr>
          <w:i/>
          <w:iCs/>
        </w:rPr>
        <w:t> </w:t>
      </w:r>
      <w:r w:rsidRPr="00A24818">
        <w:rPr>
          <w:i/>
          <w:iCs/>
        </w:rPr>
        <w:t>&lt;30</w:t>
      </w:r>
      <w:r w:rsidR="00EF044D" w:rsidRPr="00A24818">
        <w:rPr>
          <w:i/>
          <w:iCs/>
        </w:rPr>
        <w:t> </w:t>
      </w:r>
      <w:r w:rsidRPr="00A24818">
        <w:rPr>
          <w:i/>
          <w:iCs/>
        </w:rPr>
        <w:t>мл/мин) и пацие</w:t>
      </w:r>
      <w:r w:rsidR="00EF044D" w:rsidRPr="00A24818">
        <w:rPr>
          <w:i/>
          <w:iCs/>
        </w:rPr>
        <w:t>нты, находящиеся на гемодиализе</w:t>
      </w:r>
    </w:p>
    <w:p w14:paraId="764F339A" w14:textId="77777777" w:rsidR="00EF044D" w:rsidRPr="00A24818" w:rsidRDefault="00BA077C" w:rsidP="00A77E51">
      <w:pPr>
        <w:spacing w:line="360" w:lineRule="auto"/>
        <w:jc w:val="both"/>
        <w:rPr>
          <w:iCs/>
        </w:rPr>
      </w:pPr>
      <w:r w:rsidRPr="00A24818">
        <w:rPr>
          <w:iCs/>
        </w:rPr>
        <w:t>При отсутствии альтернативного лечения можно удлинять интервалы между приемами препа</w:t>
      </w:r>
      <w:r w:rsidR="007E471F" w:rsidRPr="00A24818">
        <w:rPr>
          <w:iCs/>
        </w:rPr>
        <w:t>р</w:t>
      </w:r>
      <w:r w:rsidRPr="00A24818">
        <w:rPr>
          <w:iCs/>
        </w:rPr>
        <w:t xml:space="preserve">ата </w:t>
      </w:r>
      <w:r w:rsidR="002840C4" w:rsidRPr="00A24818">
        <w:rPr>
          <w:iCs/>
        </w:rPr>
        <w:t>Тенофовир</w:t>
      </w:r>
      <w:r w:rsidR="00D42A12" w:rsidRPr="00A24818">
        <w:rPr>
          <w:iCs/>
        </w:rPr>
        <w:t> </w:t>
      </w:r>
      <w:r w:rsidR="002840C4" w:rsidRPr="00A24818">
        <w:rPr>
          <w:iCs/>
        </w:rPr>
        <w:t>ВМ</w:t>
      </w:r>
      <w:r w:rsidRPr="00A24818">
        <w:rPr>
          <w:iCs/>
        </w:rPr>
        <w:t>, как указано ниже.</w:t>
      </w:r>
      <w:r w:rsidR="007E471F" w:rsidRPr="00A24818">
        <w:rPr>
          <w:iCs/>
        </w:rPr>
        <w:t xml:space="preserve"> </w:t>
      </w:r>
    </w:p>
    <w:p w14:paraId="577B9AD9" w14:textId="77777777" w:rsidR="00BA077C" w:rsidRPr="00A24818" w:rsidRDefault="00BA077C" w:rsidP="00A77E51">
      <w:pPr>
        <w:spacing w:line="360" w:lineRule="auto"/>
        <w:jc w:val="both"/>
        <w:rPr>
          <w:iCs/>
        </w:rPr>
      </w:pPr>
      <w:r w:rsidRPr="00A24818">
        <w:rPr>
          <w:iCs/>
        </w:rPr>
        <w:t>Тяжелые нарушения функции почек: по 1</w:t>
      </w:r>
      <w:r w:rsidR="00EF044D" w:rsidRPr="00A24818">
        <w:rPr>
          <w:iCs/>
        </w:rPr>
        <w:t> </w:t>
      </w:r>
      <w:r w:rsidRPr="00A24818">
        <w:rPr>
          <w:iCs/>
        </w:rPr>
        <w:t>таблетке каждые 72-96</w:t>
      </w:r>
      <w:r w:rsidR="00EF044D" w:rsidRPr="00A24818">
        <w:rPr>
          <w:iCs/>
        </w:rPr>
        <w:t> </w:t>
      </w:r>
      <w:r w:rsidRPr="00A24818">
        <w:rPr>
          <w:iCs/>
        </w:rPr>
        <w:t>ч (</w:t>
      </w:r>
      <w:r w:rsidR="00EF044D" w:rsidRPr="00A24818">
        <w:rPr>
          <w:iCs/>
        </w:rPr>
        <w:t>2 раза</w:t>
      </w:r>
      <w:r w:rsidRPr="00A24818">
        <w:rPr>
          <w:iCs/>
        </w:rPr>
        <w:t xml:space="preserve"> в неделю).</w:t>
      </w:r>
    </w:p>
    <w:p w14:paraId="3BF05312" w14:textId="77777777" w:rsidR="00BA077C" w:rsidRPr="00A24818" w:rsidRDefault="00BA077C" w:rsidP="00A77E51">
      <w:pPr>
        <w:spacing w:line="360" w:lineRule="auto"/>
        <w:jc w:val="both"/>
        <w:rPr>
          <w:iCs/>
        </w:rPr>
      </w:pPr>
      <w:r w:rsidRPr="00A24818">
        <w:rPr>
          <w:iCs/>
        </w:rPr>
        <w:t>Пациенты на гемодиализе: по 1</w:t>
      </w:r>
      <w:r w:rsidR="00EF044D" w:rsidRPr="00A24818">
        <w:rPr>
          <w:iCs/>
        </w:rPr>
        <w:t> </w:t>
      </w:r>
      <w:r w:rsidRPr="00A24818">
        <w:rPr>
          <w:iCs/>
        </w:rPr>
        <w:t>таблетке каждые 7</w:t>
      </w:r>
      <w:r w:rsidR="00EF044D" w:rsidRPr="00A24818">
        <w:rPr>
          <w:iCs/>
        </w:rPr>
        <w:t> </w:t>
      </w:r>
      <w:r w:rsidRPr="00A24818">
        <w:rPr>
          <w:iCs/>
        </w:rPr>
        <w:t>суток после завершения сеанса гемодиализа*.</w:t>
      </w:r>
    </w:p>
    <w:p w14:paraId="0DAFA405" w14:textId="77777777" w:rsidR="00BA077C" w:rsidRPr="00A24818" w:rsidRDefault="00BA077C" w:rsidP="00A77E51">
      <w:pPr>
        <w:spacing w:line="360" w:lineRule="auto"/>
        <w:jc w:val="both"/>
        <w:rPr>
          <w:iCs/>
        </w:rPr>
      </w:pPr>
      <w:r w:rsidRPr="00A24818">
        <w:rPr>
          <w:iCs/>
        </w:rPr>
        <w:t xml:space="preserve">Указанные варианты коррекции интервалов приема препарата не были подтверждены в </w:t>
      </w:r>
      <w:r w:rsidR="002840C4" w:rsidRPr="00A24818">
        <w:rPr>
          <w:iCs/>
        </w:rPr>
        <w:t>КИ</w:t>
      </w:r>
      <w:r w:rsidRPr="00A24818">
        <w:rPr>
          <w:iCs/>
        </w:rPr>
        <w:t xml:space="preserve">. Моделирование дает основания предположить, что длительный интервал между приемами препарата </w:t>
      </w:r>
      <w:r w:rsidR="002840C4" w:rsidRPr="00A24818">
        <w:rPr>
          <w:iCs/>
        </w:rPr>
        <w:t>Тенофовир</w:t>
      </w:r>
      <w:r w:rsidR="00D42A12" w:rsidRPr="00A24818">
        <w:rPr>
          <w:iCs/>
        </w:rPr>
        <w:t> </w:t>
      </w:r>
      <w:r w:rsidR="002840C4" w:rsidRPr="00A24818">
        <w:rPr>
          <w:iCs/>
        </w:rPr>
        <w:t>ВМ</w:t>
      </w:r>
      <w:r w:rsidRPr="00A24818">
        <w:rPr>
          <w:iCs/>
        </w:rPr>
        <w:t xml:space="preserve"> не является оптимальным и может привести к повышению токсичности и, возможно, к неадекватному ответу. По этой причине необходим тщательный мониторинг </w:t>
      </w:r>
      <w:r w:rsidR="007E471F" w:rsidRPr="00A24818">
        <w:rPr>
          <w:iCs/>
        </w:rPr>
        <w:t>эффективности</w:t>
      </w:r>
      <w:r w:rsidRPr="00A24818">
        <w:rPr>
          <w:iCs/>
        </w:rPr>
        <w:t xml:space="preserve"> терапии и функции почек </w:t>
      </w:r>
      <w:r w:rsidR="00E23325" w:rsidRPr="00A24818">
        <w:rPr>
          <w:iCs/>
        </w:rPr>
        <w:br/>
      </w:r>
      <w:r w:rsidRPr="00A24818">
        <w:rPr>
          <w:iCs/>
        </w:rPr>
        <w:t>(см. разделы «Фармакокинетика» и «Особые указания»).</w:t>
      </w:r>
    </w:p>
    <w:p w14:paraId="26341C6C" w14:textId="77777777" w:rsidR="00BA077C" w:rsidRPr="00A24818" w:rsidRDefault="00E23325" w:rsidP="00057435">
      <w:pPr>
        <w:spacing w:line="276" w:lineRule="auto"/>
        <w:jc w:val="both"/>
        <w:rPr>
          <w:iCs/>
        </w:rPr>
      </w:pPr>
      <w:r w:rsidRPr="00A24818">
        <w:rPr>
          <w:iCs/>
        </w:rPr>
        <w:t>*</w:t>
      </w:r>
      <w:r w:rsidR="00BA077C" w:rsidRPr="00057435">
        <w:rPr>
          <w:iCs/>
          <w:sz w:val="22"/>
          <w:szCs w:val="22"/>
        </w:rPr>
        <w:t>Как правило, 1</w:t>
      </w:r>
      <w:r w:rsidR="00EF044D" w:rsidRPr="00057435">
        <w:rPr>
          <w:iCs/>
          <w:sz w:val="22"/>
          <w:szCs w:val="22"/>
        </w:rPr>
        <w:t> </w:t>
      </w:r>
      <w:r w:rsidR="00BA077C" w:rsidRPr="00057435">
        <w:rPr>
          <w:iCs/>
          <w:sz w:val="22"/>
          <w:szCs w:val="22"/>
        </w:rPr>
        <w:t>раз в неделю, исходя из предположения о проведении 3</w:t>
      </w:r>
      <w:r w:rsidR="00EF044D" w:rsidRPr="00057435">
        <w:rPr>
          <w:iCs/>
          <w:sz w:val="22"/>
          <w:szCs w:val="22"/>
        </w:rPr>
        <w:t> </w:t>
      </w:r>
      <w:r w:rsidR="00BA077C" w:rsidRPr="00057435">
        <w:rPr>
          <w:iCs/>
          <w:sz w:val="22"/>
          <w:szCs w:val="22"/>
        </w:rPr>
        <w:t xml:space="preserve">сеансов гемодиализа в неделю продолжительностью приблизительно </w:t>
      </w:r>
      <w:proofErr w:type="gramStart"/>
      <w:r w:rsidR="00BA077C" w:rsidRPr="00057435">
        <w:rPr>
          <w:iCs/>
          <w:sz w:val="22"/>
          <w:szCs w:val="22"/>
        </w:rPr>
        <w:t>4</w:t>
      </w:r>
      <w:r w:rsidR="00EF044D" w:rsidRPr="00057435">
        <w:rPr>
          <w:iCs/>
          <w:sz w:val="22"/>
          <w:szCs w:val="22"/>
        </w:rPr>
        <w:t>  ч</w:t>
      </w:r>
      <w:proofErr w:type="gramEnd"/>
      <w:r w:rsidR="00BA077C" w:rsidRPr="00057435">
        <w:rPr>
          <w:iCs/>
          <w:sz w:val="22"/>
          <w:szCs w:val="22"/>
        </w:rPr>
        <w:t xml:space="preserve"> каждый, или после 12</w:t>
      </w:r>
      <w:r w:rsidR="00EF044D" w:rsidRPr="00057435">
        <w:rPr>
          <w:iCs/>
          <w:sz w:val="22"/>
          <w:szCs w:val="22"/>
        </w:rPr>
        <w:t> ч</w:t>
      </w:r>
      <w:r w:rsidR="00BA077C" w:rsidRPr="00057435">
        <w:rPr>
          <w:iCs/>
          <w:sz w:val="22"/>
          <w:szCs w:val="22"/>
        </w:rPr>
        <w:t xml:space="preserve"> суммарного периода гемодиализа.</w:t>
      </w:r>
    </w:p>
    <w:p w14:paraId="38333573" w14:textId="77777777" w:rsidR="00BA077C" w:rsidRPr="00A24818" w:rsidRDefault="00BA077C" w:rsidP="00057435">
      <w:pPr>
        <w:spacing w:before="120" w:line="360" w:lineRule="auto"/>
        <w:jc w:val="both"/>
      </w:pPr>
      <w:r w:rsidRPr="00A24818">
        <w:rPr>
          <w:iCs/>
        </w:rPr>
        <w:t xml:space="preserve">Рекомендации относительно дозирования для пациентов с </w:t>
      </w:r>
      <w:r w:rsidR="007E0F39" w:rsidRPr="00A24818">
        <w:t>КК</w:t>
      </w:r>
      <w:r w:rsidR="00EF044D" w:rsidRPr="00A24818">
        <w:t> </w:t>
      </w:r>
      <w:r w:rsidR="007E0F39" w:rsidRPr="00A24818">
        <w:t>&lt;10</w:t>
      </w:r>
      <w:r w:rsidR="00EF044D" w:rsidRPr="00A24818">
        <w:t> </w:t>
      </w:r>
      <w:r w:rsidR="007E0F39" w:rsidRPr="00A24818">
        <w:t>мл/мин без гемодиализа отсутствуют.</w:t>
      </w:r>
    </w:p>
    <w:p w14:paraId="1F964AEE" w14:textId="77777777" w:rsidR="003F5691" w:rsidRPr="00057435" w:rsidRDefault="00EA0622" w:rsidP="00A77E51">
      <w:pPr>
        <w:keepNext/>
        <w:spacing w:line="360" w:lineRule="auto"/>
        <w:jc w:val="both"/>
      </w:pPr>
      <w:r w:rsidRPr="00057435">
        <w:rPr>
          <w:i/>
          <w:iCs/>
        </w:rPr>
        <w:lastRenderedPageBreak/>
        <w:t>Дети</w:t>
      </w:r>
    </w:p>
    <w:p w14:paraId="63C5513E" w14:textId="77777777" w:rsidR="00EA0622" w:rsidRPr="00057435" w:rsidRDefault="00B768CF" w:rsidP="00A77E51">
      <w:pPr>
        <w:spacing w:line="360" w:lineRule="auto"/>
        <w:jc w:val="both"/>
      </w:pPr>
      <w:r w:rsidRPr="00057435">
        <w:t xml:space="preserve">Противопоказано </w:t>
      </w:r>
      <w:r w:rsidR="00EA0622" w:rsidRPr="00057435">
        <w:t>применять тенофовир у детей с нарушением функции почек</w:t>
      </w:r>
      <w:r w:rsidRPr="00057435">
        <w:t xml:space="preserve"> (см. раздел «Особые указания»)</w:t>
      </w:r>
      <w:r w:rsidR="00EA0622" w:rsidRPr="00057435">
        <w:t>.</w:t>
      </w:r>
    </w:p>
    <w:p w14:paraId="23CAADFD" w14:textId="77777777" w:rsidR="00EA0622" w:rsidRPr="00057435" w:rsidRDefault="00EA0622" w:rsidP="00A77E51">
      <w:pPr>
        <w:spacing w:line="360" w:lineRule="auto"/>
        <w:jc w:val="both"/>
      </w:pPr>
      <w:r w:rsidRPr="00057435">
        <w:rPr>
          <w:i/>
          <w:iCs/>
        </w:rPr>
        <w:t>Нарушение функции печени</w:t>
      </w:r>
    </w:p>
    <w:p w14:paraId="31817D0E" w14:textId="77777777" w:rsidR="00B768CF" w:rsidRPr="00057435" w:rsidRDefault="00EA0622" w:rsidP="00A77E51">
      <w:pPr>
        <w:spacing w:line="360" w:lineRule="auto"/>
        <w:jc w:val="both"/>
      </w:pPr>
      <w:r w:rsidRPr="00057435">
        <w:t>Для пациентов с нарушением функции печени нет необходимости в коррекции дозы</w:t>
      </w:r>
      <w:r w:rsidR="00B768CF" w:rsidRPr="00057435">
        <w:t xml:space="preserve"> (см.</w:t>
      </w:r>
      <w:r w:rsidR="005975F3" w:rsidRPr="00057435">
        <w:t> </w:t>
      </w:r>
      <w:r w:rsidR="00B768CF" w:rsidRPr="00057435">
        <w:t>разделы «Фармакокинетика» и «Особые указания»)</w:t>
      </w:r>
      <w:r w:rsidRPr="00057435">
        <w:t>.</w:t>
      </w:r>
    </w:p>
    <w:p w14:paraId="4FA75A20" w14:textId="77777777" w:rsidR="00EA0622" w:rsidRPr="00057435" w:rsidRDefault="00EA0622" w:rsidP="00A77E51">
      <w:pPr>
        <w:spacing w:line="360" w:lineRule="auto"/>
        <w:jc w:val="both"/>
      </w:pPr>
      <w:r w:rsidRPr="00057435">
        <w:t>Необходимо тщательное наблюдение за пациентами с хроническим гепатитом</w:t>
      </w:r>
      <w:r w:rsidR="002205BC" w:rsidRPr="00057435">
        <w:t> </w:t>
      </w:r>
      <w:r w:rsidRPr="00057435">
        <w:t>В</w:t>
      </w:r>
      <w:r w:rsidR="005975F3" w:rsidRPr="00057435">
        <w:t xml:space="preserve"> </w:t>
      </w:r>
      <w:r w:rsidRPr="00057435">
        <w:t>(с</w:t>
      </w:r>
      <w:r w:rsidR="005975F3" w:rsidRPr="00057435">
        <w:t> </w:t>
      </w:r>
      <w:r w:rsidRPr="00057435">
        <w:t xml:space="preserve">сопутствующей инфекцией ВИЧ или без) если они прекратили прием препарата </w:t>
      </w:r>
      <w:r w:rsidR="002840C4" w:rsidRPr="00057435">
        <w:t>Тенофовир</w:t>
      </w:r>
      <w:r w:rsidR="00D42A12" w:rsidRPr="00057435">
        <w:t> </w:t>
      </w:r>
      <w:r w:rsidR="002840C4" w:rsidRPr="00057435">
        <w:t>ВМ</w:t>
      </w:r>
      <w:r w:rsidRPr="00057435">
        <w:t>, так как после отмены препарата есть риск обострения гепатита</w:t>
      </w:r>
      <w:r w:rsidR="00B768CF" w:rsidRPr="00057435">
        <w:t xml:space="preserve"> (см.</w:t>
      </w:r>
      <w:r w:rsidR="005975F3" w:rsidRPr="00057435">
        <w:t> </w:t>
      </w:r>
      <w:r w:rsidR="00B768CF" w:rsidRPr="00057435">
        <w:t>раздел «Особые указания»)</w:t>
      </w:r>
      <w:r w:rsidRPr="00057435">
        <w:t>.</w:t>
      </w:r>
    </w:p>
    <w:p w14:paraId="623967DF" w14:textId="77777777" w:rsidR="002268CE" w:rsidRPr="00FA6BDB" w:rsidRDefault="00643204" w:rsidP="00613C0A">
      <w:pPr>
        <w:spacing w:before="120" w:line="360" w:lineRule="auto"/>
        <w:jc w:val="both"/>
        <w:rPr>
          <w:b/>
        </w:rPr>
      </w:pPr>
      <w:r w:rsidRPr="00FA6BDB">
        <w:rPr>
          <w:b/>
        </w:rPr>
        <w:t>Побочное действие</w:t>
      </w:r>
      <w:r w:rsidR="00F40717" w:rsidRPr="00FA6BDB">
        <w:rPr>
          <w:b/>
        </w:rPr>
        <w:t xml:space="preserve"> </w:t>
      </w:r>
    </w:p>
    <w:p w14:paraId="4F52C594" w14:textId="77777777" w:rsidR="00E03BEF" w:rsidRPr="00613C0A" w:rsidRDefault="00E03BEF" w:rsidP="00FA6BDB">
      <w:pPr>
        <w:spacing w:line="360" w:lineRule="auto"/>
        <w:ind w:right="-1"/>
        <w:jc w:val="both"/>
        <w:rPr>
          <w:i/>
          <w:iCs/>
          <w:u w:val="single"/>
        </w:rPr>
      </w:pPr>
      <w:r w:rsidRPr="00613C0A">
        <w:rPr>
          <w:i/>
          <w:iCs/>
          <w:u w:val="single"/>
        </w:rPr>
        <w:t>Краткие данные о профиле безопасности</w:t>
      </w:r>
    </w:p>
    <w:p w14:paraId="3572AA5D" w14:textId="77777777" w:rsidR="003F5691" w:rsidRPr="00FA6BDB" w:rsidRDefault="00B768CF" w:rsidP="00FA6BDB">
      <w:pPr>
        <w:spacing w:line="360" w:lineRule="auto"/>
        <w:ind w:right="-1"/>
        <w:jc w:val="both"/>
      </w:pPr>
      <w:r w:rsidRPr="00FA6BDB">
        <w:rPr>
          <w:i/>
          <w:iCs/>
        </w:rPr>
        <w:t>ВИЧ-1 и гепатит</w:t>
      </w:r>
      <w:r w:rsidR="002205BC" w:rsidRPr="00FA6BDB">
        <w:rPr>
          <w:i/>
          <w:iCs/>
        </w:rPr>
        <w:t> </w:t>
      </w:r>
      <w:r w:rsidRPr="00FA6BDB">
        <w:rPr>
          <w:i/>
          <w:iCs/>
        </w:rPr>
        <w:t>В:</w:t>
      </w:r>
      <w:r w:rsidRPr="00FA6BDB">
        <w:rPr>
          <w:iCs/>
        </w:rPr>
        <w:t xml:space="preserve"> </w:t>
      </w:r>
      <w:r w:rsidR="00E03BEF" w:rsidRPr="00FA6BDB">
        <w:t>Редко сообщалось о случаях нарушения функции почек, почечной недостаточности и</w:t>
      </w:r>
      <w:r w:rsidRPr="00FA6BDB">
        <w:t xml:space="preserve"> нечасто – о случаях</w:t>
      </w:r>
      <w:r w:rsidR="00E03BEF" w:rsidRPr="00FA6BDB">
        <w:t xml:space="preserve"> проксимальной тубулопатии (</w:t>
      </w:r>
      <w:r w:rsidR="002840C4" w:rsidRPr="00FA6BDB">
        <w:t>в т.ч.</w:t>
      </w:r>
      <w:r w:rsidR="00E03BEF" w:rsidRPr="00FA6BDB">
        <w:t xml:space="preserve"> синдрома Фанкони), которые иногда приводили к патологии костной ткани (редко</w:t>
      </w:r>
      <w:r w:rsidR="005975F3" w:rsidRPr="00FA6BDB">
        <w:t xml:space="preserve"> – </w:t>
      </w:r>
      <w:r w:rsidR="00E03BEF" w:rsidRPr="00FA6BDB">
        <w:t>к переломам), у пациентов, принимавших тенофовир</w:t>
      </w:r>
      <w:r w:rsidRPr="00FA6BDB">
        <w:t>а дизопроксила фумарат</w:t>
      </w:r>
      <w:r w:rsidR="00E03BEF" w:rsidRPr="00FA6BDB">
        <w:t>. Для пациентов, принимающих</w:t>
      </w:r>
      <w:r w:rsidRPr="00FA6BDB">
        <w:t xml:space="preserve"> препарат</w:t>
      </w:r>
      <w:r w:rsidR="00E03BEF" w:rsidRPr="00FA6BDB">
        <w:t xml:space="preserve"> </w:t>
      </w:r>
      <w:r w:rsidR="002840C4" w:rsidRPr="00FA6BDB">
        <w:t>Тенофовир</w:t>
      </w:r>
      <w:r w:rsidR="00D42A12" w:rsidRPr="00FA6BDB">
        <w:t> </w:t>
      </w:r>
      <w:r w:rsidR="002840C4" w:rsidRPr="00FA6BDB">
        <w:t>ВМ</w:t>
      </w:r>
      <w:r w:rsidR="00E03BEF" w:rsidRPr="00FA6BDB">
        <w:t>, рекомендуется наблюдение за функцией почек (см. раздел «Особые указания»).</w:t>
      </w:r>
    </w:p>
    <w:p w14:paraId="0AFE8555" w14:textId="77777777" w:rsidR="00E03BEF" w:rsidRPr="00FA6BDB" w:rsidRDefault="00E03BEF" w:rsidP="00FA6BDB">
      <w:pPr>
        <w:spacing w:line="360" w:lineRule="auto"/>
        <w:jc w:val="both"/>
      </w:pPr>
      <w:r w:rsidRPr="00FA6BDB">
        <w:rPr>
          <w:i/>
          <w:iCs/>
        </w:rPr>
        <w:t xml:space="preserve">ВИЧ-1: </w:t>
      </w:r>
      <w:r w:rsidRPr="00FA6BDB">
        <w:t xml:space="preserve">Побочные реакции при лечении </w:t>
      </w:r>
      <w:r w:rsidR="00B768CF" w:rsidRPr="00FA6BDB">
        <w:t xml:space="preserve">тенофовира дизопроксила фумаратом </w:t>
      </w:r>
      <w:r w:rsidRPr="00FA6BDB">
        <w:t xml:space="preserve">в сочетании с другими антиретровирусными препаратами могут ожидаться почти у </w:t>
      </w:r>
      <w:r w:rsidR="00613C0A">
        <w:t xml:space="preserve">одной трети </w:t>
      </w:r>
      <w:r w:rsidRPr="00FA6BDB">
        <w:t>пациентов. Такие реакции, как правило, представляют собой нарушения со стороны желудочно-кишечного тракта</w:t>
      </w:r>
      <w:r w:rsidR="002840C4" w:rsidRPr="00FA6BDB">
        <w:t xml:space="preserve"> (ЖКТ)</w:t>
      </w:r>
      <w:r w:rsidRPr="00FA6BDB">
        <w:t xml:space="preserve"> от легкой до средней степени тяжести. Приблизительно </w:t>
      </w:r>
      <w:r w:rsidR="006204D2" w:rsidRPr="00FA6BDB">
        <w:t>1 </w:t>
      </w:r>
      <w:r w:rsidRPr="00FA6BDB">
        <w:t xml:space="preserve">% пациентов, получавших лечение </w:t>
      </w:r>
      <w:r w:rsidR="00B768CF" w:rsidRPr="00FA6BDB">
        <w:t>тенофовира дизопроксила фумаратом</w:t>
      </w:r>
      <w:r w:rsidRPr="00FA6BDB">
        <w:t xml:space="preserve">, прекратили лечение из-за реакций со стороны </w:t>
      </w:r>
      <w:r w:rsidR="002840C4" w:rsidRPr="00FA6BDB">
        <w:t>ЖКТ</w:t>
      </w:r>
      <w:r w:rsidRPr="00FA6BDB">
        <w:t>.</w:t>
      </w:r>
    </w:p>
    <w:p w14:paraId="614DD5A9" w14:textId="77777777" w:rsidR="00C70D59" w:rsidRPr="00FA6BDB" w:rsidRDefault="00E03BEF" w:rsidP="00FA6BDB">
      <w:pPr>
        <w:spacing w:line="360" w:lineRule="auto"/>
        <w:jc w:val="both"/>
      </w:pPr>
      <w:r w:rsidRPr="00FA6BDB">
        <w:t xml:space="preserve">Не рекомендуется одновременное применение препарата </w:t>
      </w:r>
      <w:r w:rsidR="002840C4" w:rsidRPr="00FA6BDB">
        <w:t>Тенофовир</w:t>
      </w:r>
      <w:r w:rsidR="00D42A12" w:rsidRPr="00FA6BDB">
        <w:t> </w:t>
      </w:r>
      <w:r w:rsidR="002840C4" w:rsidRPr="00FA6BDB">
        <w:t>ВМ</w:t>
      </w:r>
      <w:r w:rsidRPr="00FA6BDB">
        <w:t xml:space="preserve"> и диданозина, поскольку это может привести к повышению риска побочных реакций (см. раздел «Взаимодействие с другими </w:t>
      </w:r>
      <w:r w:rsidR="00C70D59" w:rsidRPr="00FA6BDB">
        <w:t xml:space="preserve">лекарственными средствами»). </w:t>
      </w:r>
      <w:r w:rsidRPr="00FA6BDB">
        <w:t xml:space="preserve">Редко сообщалось </w:t>
      </w:r>
      <w:r w:rsidR="005F650E" w:rsidRPr="00FA6BDB">
        <w:t xml:space="preserve">о </w:t>
      </w:r>
      <w:r w:rsidRPr="00FA6BDB">
        <w:t>случаях панкреатита и лактоацидоза, иногда с летальным исходом (см. раздел «Особые указания»).</w:t>
      </w:r>
    </w:p>
    <w:p w14:paraId="020A8EB0" w14:textId="77777777" w:rsidR="00E03BEF" w:rsidRPr="00FA6BDB" w:rsidRDefault="00387D5B" w:rsidP="00FA6BDB">
      <w:pPr>
        <w:spacing w:line="360" w:lineRule="auto"/>
        <w:jc w:val="both"/>
      </w:pPr>
      <w:r w:rsidRPr="00FA6BDB">
        <w:rPr>
          <w:i/>
          <w:iCs/>
        </w:rPr>
        <w:t>Гепатит</w:t>
      </w:r>
      <w:r w:rsidR="002205BC" w:rsidRPr="00FA6BDB">
        <w:rPr>
          <w:i/>
          <w:iCs/>
        </w:rPr>
        <w:t> </w:t>
      </w:r>
      <w:r w:rsidRPr="00FA6BDB">
        <w:rPr>
          <w:i/>
          <w:iCs/>
        </w:rPr>
        <w:t>В:</w:t>
      </w:r>
      <w:r w:rsidR="00E03BEF" w:rsidRPr="00FA6BDB">
        <w:rPr>
          <w:i/>
          <w:iCs/>
        </w:rPr>
        <w:t xml:space="preserve"> </w:t>
      </w:r>
      <w:r w:rsidR="00E03BEF" w:rsidRPr="00FA6BDB">
        <w:t>Побочные реакции</w:t>
      </w:r>
      <w:r w:rsidR="00472C07" w:rsidRPr="00FA6BDB">
        <w:t xml:space="preserve">, в основном незначительные, </w:t>
      </w:r>
      <w:r w:rsidR="00E03BEF" w:rsidRPr="00FA6BDB">
        <w:t>при приеме тенофовира</w:t>
      </w:r>
      <w:r w:rsidR="00472C07" w:rsidRPr="00FA6BDB">
        <w:t xml:space="preserve"> дизопроксила фумарата</w:t>
      </w:r>
      <w:r w:rsidR="00E03BEF" w:rsidRPr="00FA6BDB">
        <w:t xml:space="preserve"> могут ожидаться почти у </w:t>
      </w:r>
      <w:r w:rsidR="00441313">
        <w:t>одной четверти</w:t>
      </w:r>
      <w:r w:rsidR="00E03BEF" w:rsidRPr="00FA6BDB">
        <w:t xml:space="preserve"> пациентов. В </w:t>
      </w:r>
      <w:r w:rsidR="002840C4" w:rsidRPr="00FA6BDB">
        <w:t>КИ</w:t>
      </w:r>
      <w:r w:rsidR="00E03BEF" w:rsidRPr="00FA6BDB">
        <w:t xml:space="preserve"> с участием пациентов, инфицированных ВГВ, наиболее частой побочной реакцией на тенофовир</w:t>
      </w:r>
      <w:r w:rsidR="005975F3" w:rsidRPr="00FA6BDB">
        <w:t>а дизопроксила фумарат</w:t>
      </w:r>
      <w:r w:rsidR="00E03BEF" w:rsidRPr="00FA6BDB">
        <w:t xml:space="preserve"> была тошнота (5,</w:t>
      </w:r>
      <w:proofErr w:type="gramStart"/>
      <w:r w:rsidR="00E03BEF" w:rsidRPr="00FA6BDB">
        <w:t>4</w:t>
      </w:r>
      <w:r w:rsidR="005975F3" w:rsidRPr="00FA6BDB">
        <w:t> </w:t>
      </w:r>
      <w:r w:rsidR="0034026F" w:rsidRPr="00FA6BDB">
        <w:t> </w:t>
      </w:r>
      <w:r w:rsidR="00E03BEF" w:rsidRPr="00FA6BDB">
        <w:t>%)</w:t>
      </w:r>
      <w:proofErr w:type="gramEnd"/>
      <w:r w:rsidR="00E03BEF" w:rsidRPr="00FA6BDB">
        <w:t>.</w:t>
      </w:r>
    </w:p>
    <w:p w14:paraId="6A10A4B1" w14:textId="77777777" w:rsidR="00C70D59" w:rsidRPr="00FA6BDB" w:rsidRDefault="00E03BEF" w:rsidP="00FA6BDB">
      <w:pPr>
        <w:spacing w:line="360" w:lineRule="auto"/>
        <w:jc w:val="both"/>
      </w:pPr>
      <w:r w:rsidRPr="00FA6BDB">
        <w:t>Сообщалось о случаях обострения гепатита</w:t>
      </w:r>
      <w:r w:rsidR="002205BC" w:rsidRPr="00FA6BDB">
        <w:t> </w:t>
      </w:r>
      <w:proofErr w:type="gramStart"/>
      <w:r w:rsidRPr="00FA6BDB">
        <w:t>В у</w:t>
      </w:r>
      <w:proofErr w:type="gramEnd"/>
      <w:r w:rsidRPr="00FA6BDB">
        <w:t xml:space="preserve"> пациентов на фоне терапии, также как и у пациентов, прекративших лечение гепатита</w:t>
      </w:r>
      <w:r w:rsidR="002205BC" w:rsidRPr="00FA6BDB">
        <w:t> </w:t>
      </w:r>
      <w:r w:rsidRPr="00FA6BDB">
        <w:t>В (см. раздел «Особые указания»).</w:t>
      </w:r>
    </w:p>
    <w:p w14:paraId="1B8B0155" w14:textId="77777777" w:rsidR="00E03BEF" w:rsidRPr="00613C0A" w:rsidRDefault="00E03BEF" w:rsidP="00B26CE1">
      <w:pPr>
        <w:keepNext/>
        <w:spacing w:line="360" w:lineRule="auto"/>
        <w:jc w:val="both"/>
        <w:rPr>
          <w:u w:val="single"/>
        </w:rPr>
      </w:pPr>
      <w:r w:rsidRPr="00613C0A">
        <w:rPr>
          <w:i/>
          <w:iCs/>
          <w:u w:val="single"/>
        </w:rPr>
        <w:lastRenderedPageBreak/>
        <w:t xml:space="preserve">Краткие </w:t>
      </w:r>
      <w:r w:rsidR="003A061B" w:rsidRPr="00613C0A">
        <w:rPr>
          <w:i/>
          <w:iCs/>
          <w:u w:val="single"/>
        </w:rPr>
        <w:t xml:space="preserve">данные </w:t>
      </w:r>
      <w:r w:rsidRPr="00613C0A">
        <w:rPr>
          <w:i/>
          <w:iCs/>
          <w:u w:val="single"/>
        </w:rPr>
        <w:t>о побочных реакциях</w:t>
      </w:r>
      <w:r w:rsidR="003A061B" w:rsidRPr="00613C0A">
        <w:rPr>
          <w:i/>
          <w:iCs/>
          <w:u w:val="single"/>
        </w:rPr>
        <w:t>, связанных с приемом пр</w:t>
      </w:r>
      <w:r w:rsidR="007E471F" w:rsidRPr="00613C0A">
        <w:rPr>
          <w:i/>
          <w:iCs/>
          <w:u w:val="single"/>
        </w:rPr>
        <w:t>е</w:t>
      </w:r>
      <w:r w:rsidR="003A061B" w:rsidRPr="00613C0A">
        <w:rPr>
          <w:i/>
          <w:iCs/>
          <w:u w:val="single"/>
        </w:rPr>
        <w:t>парата</w:t>
      </w:r>
    </w:p>
    <w:p w14:paraId="3EBEDAFE" w14:textId="77777777" w:rsidR="00C70D59" w:rsidRPr="00B26CE1" w:rsidRDefault="00E03BEF" w:rsidP="00B26CE1">
      <w:pPr>
        <w:spacing w:line="360" w:lineRule="auto"/>
        <w:jc w:val="both"/>
      </w:pPr>
      <w:r w:rsidRPr="00B26CE1">
        <w:t>Оценка побочных реакций на тенофовир</w:t>
      </w:r>
      <w:r w:rsidR="00472C07" w:rsidRPr="00B26CE1">
        <w:t>а дизопроксила фумарат</w:t>
      </w:r>
      <w:r w:rsidRPr="00B26CE1">
        <w:t xml:space="preserve"> основывается на данных по безопасности, полученных в ходе </w:t>
      </w:r>
      <w:r w:rsidR="00471C1E" w:rsidRPr="00B26CE1">
        <w:t>КИ</w:t>
      </w:r>
      <w:r w:rsidRPr="00B26CE1">
        <w:t xml:space="preserve"> и пострегистрационного анализа. Все побочные реакции указаны в таблице</w:t>
      </w:r>
      <w:r w:rsidR="005975F3" w:rsidRPr="00B26CE1">
        <w:t> </w:t>
      </w:r>
      <w:r w:rsidRPr="00B26CE1">
        <w:t>1.</w:t>
      </w:r>
    </w:p>
    <w:p w14:paraId="3AE41632" w14:textId="77777777" w:rsidR="00E03BEF" w:rsidRPr="00B26CE1" w:rsidRDefault="002840C4" w:rsidP="00B26CE1">
      <w:pPr>
        <w:spacing w:line="360" w:lineRule="auto"/>
        <w:jc w:val="both"/>
      </w:pPr>
      <w:r w:rsidRPr="00B26CE1">
        <w:rPr>
          <w:i/>
          <w:iCs/>
        </w:rPr>
        <w:t>КИ</w:t>
      </w:r>
      <w:r w:rsidR="00E03BEF" w:rsidRPr="00B26CE1">
        <w:rPr>
          <w:i/>
          <w:iCs/>
        </w:rPr>
        <w:t xml:space="preserve"> ВИЧ-1</w:t>
      </w:r>
      <w:r w:rsidR="005975F3" w:rsidRPr="00B26CE1">
        <w:rPr>
          <w:i/>
          <w:iCs/>
        </w:rPr>
        <w:t>:</w:t>
      </w:r>
      <w:r w:rsidR="00DE198E" w:rsidRPr="00B26CE1">
        <w:rPr>
          <w:i/>
          <w:iCs/>
        </w:rPr>
        <w:t xml:space="preserve"> </w:t>
      </w:r>
      <w:r w:rsidR="00E03BEF" w:rsidRPr="00B26CE1">
        <w:t xml:space="preserve">Оценка побочных реакций по данным </w:t>
      </w:r>
      <w:r w:rsidR="00471C1E" w:rsidRPr="00B26CE1">
        <w:t>КИ</w:t>
      </w:r>
      <w:r w:rsidR="00E03BEF" w:rsidRPr="00B26CE1">
        <w:t xml:space="preserve"> ВИЧ-1 основывается на результатах </w:t>
      </w:r>
      <w:r w:rsidR="00DE198E" w:rsidRPr="00B26CE1">
        <w:t>2-</w:t>
      </w:r>
      <w:r w:rsidR="00E03BEF" w:rsidRPr="00B26CE1">
        <w:t>х исследований, в рамках которых 653</w:t>
      </w:r>
      <w:r w:rsidR="005975F3" w:rsidRPr="00B26CE1">
        <w:t> </w:t>
      </w:r>
      <w:r w:rsidR="00E03BEF" w:rsidRPr="00B26CE1">
        <w:t>пациента, ранее получавшие лечение, принимали тенофовир</w:t>
      </w:r>
      <w:r w:rsidR="003A061B" w:rsidRPr="00B26CE1">
        <w:t>а дизопроксила фумарат</w:t>
      </w:r>
      <w:r w:rsidR="00E03BEF" w:rsidRPr="00B26CE1">
        <w:t xml:space="preserve"> (</w:t>
      </w:r>
      <w:r w:rsidR="00E03BEF" w:rsidRPr="00B26CE1">
        <w:rPr>
          <w:lang w:val="en-US" w:eastAsia="en-US"/>
        </w:rPr>
        <w:t>n</w:t>
      </w:r>
      <w:r w:rsidR="00DE198E" w:rsidRPr="00B26CE1">
        <w:t> </w:t>
      </w:r>
      <w:r w:rsidR="00E03BEF" w:rsidRPr="00B26CE1">
        <w:t>=</w:t>
      </w:r>
      <w:r w:rsidR="00DE198E" w:rsidRPr="00B26CE1">
        <w:t> </w:t>
      </w:r>
      <w:r w:rsidR="00E03BEF" w:rsidRPr="00B26CE1">
        <w:t>443) или плацебо (</w:t>
      </w:r>
      <w:r w:rsidR="00E03BEF" w:rsidRPr="00B26CE1">
        <w:rPr>
          <w:lang w:val="en-US" w:eastAsia="en-US"/>
        </w:rPr>
        <w:t>n</w:t>
      </w:r>
      <w:r w:rsidR="00DE198E" w:rsidRPr="00B26CE1">
        <w:t> </w:t>
      </w:r>
      <w:r w:rsidR="00E03BEF" w:rsidRPr="00B26CE1">
        <w:t>=</w:t>
      </w:r>
      <w:r w:rsidR="00DE198E" w:rsidRPr="00B26CE1">
        <w:t> </w:t>
      </w:r>
      <w:r w:rsidR="00E03BEF" w:rsidRPr="00B26CE1">
        <w:t>210) в сочетании с другими антиретровирусными препаратами в течение 24</w:t>
      </w:r>
      <w:r w:rsidR="005975F3" w:rsidRPr="00B26CE1">
        <w:t> </w:t>
      </w:r>
      <w:r w:rsidR="00E03BEF" w:rsidRPr="00B26CE1">
        <w:t>недель, а также на данных двойного слепого сравнительного контролируемого исследования, в рамках которого 600</w:t>
      </w:r>
      <w:r w:rsidR="005975F3" w:rsidRPr="00B26CE1">
        <w:t> </w:t>
      </w:r>
      <w:r w:rsidR="00E03BEF" w:rsidRPr="00B26CE1">
        <w:t xml:space="preserve">пациентов, ранее не получавшие лечение, принимали </w:t>
      </w:r>
      <w:r w:rsidR="0034026F" w:rsidRPr="00B26CE1">
        <w:t>300 </w:t>
      </w:r>
      <w:r w:rsidR="00E03BEF" w:rsidRPr="00B26CE1">
        <w:t>мг тенофовира дизопроксила фумарата (</w:t>
      </w:r>
      <w:r w:rsidR="00E03BEF" w:rsidRPr="00B26CE1">
        <w:rPr>
          <w:lang w:val="en-US" w:eastAsia="en-US"/>
        </w:rPr>
        <w:t>n</w:t>
      </w:r>
      <w:r w:rsidR="00DE198E" w:rsidRPr="00B26CE1">
        <w:t> </w:t>
      </w:r>
      <w:r w:rsidR="00E03BEF" w:rsidRPr="00B26CE1">
        <w:t>=</w:t>
      </w:r>
      <w:r w:rsidR="00DE198E" w:rsidRPr="00B26CE1">
        <w:t xml:space="preserve"> 299) или ставудин </w:t>
      </w:r>
      <w:r w:rsidR="00E03BEF" w:rsidRPr="00B26CE1">
        <w:t>(</w:t>
      </w:r>
      <w:r w:rsidR="00E03BEF" w:rsidRPr="00B26CE1">
        <w:rPr>
          <w:lang w:val="en-US" w:eastAsia="en-US"/>
        </w:rPr>
        <w:t>n</w:t>
      </w:r>
      <w:r w:rsidR="00DE198E" w:rsidRPr="00B26CE1">
        <w:t> </w:t>
      </w:r>
      <w:r w:rsidR="00E03BEF" w:rsidRPr="00B26CE1">
        <w:t>=</w:t>
      </w:r>
      <w:r w:rsidR="00DE198E" w:rsidRPr="00B26CE1">
        <w:t> </w:t>
      </w:r>
      <w:r w:rsidR="00E03BEF" w:rsidRPr="00B26CE1">
        <w:t>301) в сочетании с ламивудином и эфавирензом на протяжении 144</w:t>
      </w:r>
      <w:r w:rsidR="000A661A" w:rsidRPr="00B26CE1">
        <w:t> </w:t>
      </w:r>
      <w:r w:rsidR="00E03BEF" w:rsidRPr="00B26CE1">
        <w:t>недель.</w:t>
      </w:r>
    </w:p>
    <w:p w14:paraId="5B34406C" w14:textId="77777777" w:rsidR="00E03BEF" w:rsidRPr="00B26CE1" w:rsidRDefault="002840C4" w:rsidP="00B26CE1">
      <w:pPr>
        <w:spacing w:line="360" w:lineRule="auto"/>
        <w:jc w:val="both"/>
      </w:pPr>
      <w:r w:rsidRPr="00B26CE1">
        <w:rPr>
          <w:i/>
          <w:iCs/>
        </w:rPr>
        <w:t>КИ</w:t>
      </w:r>
      <w:r w:rsidR="00E03BEF" w:rsidRPr="00B26CE1">
        <w:rPr>
          <w:i/>
          <w:iCs/>
        </w:rPr>
        <w:t xml:space="preserve"> гепатита</w:t>
      </w:r>
      <w:r w:rsidR="002205BC" w:rsidRPr="00B26CE1">
        <w:rPr>
          <w:i/>
          <w:iCs/>
        </w:rPr>
        <w:t> </w:t>
      </w:r>
      <w:r w:rsidR="00E03BEF" w:rsidRPr="00B26CE1">
        <w:rPr>
          <w:i/>
          <w:iCs/>
        </w:rPr>
        <w:t>В</w:t>
      </w:r>
      <w:r w:rsidR="000A661A" w:rsidRPr="00B26CE1">
        <w:rPr>
          <w:i/>
          <w:iCs/>
        </w:rPr>
        <w:t xml:space="preserve">: </w:t>
      </w:r>
      <w:r w:rsidR="00E03BEF" w:rsidRPr="00B26CE1">
        <w:t xml:space="preserve">Оценка побочных реакций по данным </w:t>
      </w:r>
      <w:r w:rsidR="00471C1E" w:rsidRPr="00B26CE1">
        <w:t>КИ</w:t>
      </w:r>
      <w:r w:rsidR="00E03BEF" w:rsidRPr="00B26CE1">
        <w:t xml:space="preserve"> гепатита</w:t>
      </w:r>
      <w:r w:rsidR="002205BC" w:rsidRPr="00B26CE1">
        <w:t> </w:t>
      </w:r>
      <w:r w:rsidR="00E03BEF" w:rsidRPr="00B26CE1">
        <w:t xml:space="preserve">В, главным образом, основывается на результатах </w:t>
      </w:r>
      <w:r w:rsidR="00DE198E" w:rsidRPr="00B26CE1">
        <w:t>2-х</w:t>
      </w:r>
      <w:r w:rsidR="00E03BEF" w:rsidRPr="00B26CE1">
        <w:t xml:space="preserve"> двойных слепых сравнительных контролируемых исследований, в рамках которых 641</w:t>
      </w:r>
      <w:r w:rsidR="000A661A" w:rsidRPr="00B26CE1">
        <w:t> </w:t>
      </w:r>
      <w:r w:rsidR="00E03BEF" w:rsidRPr="00B26CE1">
        <w:t xml:space="preserve">пациент с хроническим </w:t>
      </w:r>
      <w:r w:rsidR="0034026F" w:rsidRPr="00B26CE1">
        <w:t>гепатитом </w:t>
      </w:r>
      <w:r w:rsidR="00E03BEF" w:rsidRPr="00B26CE1">
        <w:t>В</w:t>
      </w:r>
      <w:r w:rsidR="00E03BEF" w:rsidRPr="00B26CE1">
        <w:rPr>
          <w:lang w:eastAsia="en-US"/>
        </w:rPr>
        <w:t xml:space="preserve"> </w:t>
      </w:r>
      <w:r w:rsidR="00E03BEF" w:rsidRPr="00B26CE1">
        <w:t>и</w:t>
      </w:r>
      <w:r w:rsidR="00E03BEF" w:rsidRPr="00B26CE1">
        <w:rPr>
          <w:lang w:eastAsia="en-US"/>
        </w:rPr>
        <w:t xml:space="preserve"> </w:t>
      </w:r>
      <w:r w:rsidR="00E03BEF" w:rsidRPr="00B26CE1">
        <w:t xml:space="preserve">с компенсированной функцией печени получал </w:t>
      </w:r>
      <w:r w:rsidR="0034026F" w:rsidRPr="00B26CE1">
        <w:t>300 </w:t>
      </w:r>
      <w:r w:rsidR="00E03BEF" w:rsidRPr="00B26CE1">
        <w:t>мг тенофовира дизопроксила фумарата ежедневно (</w:t>
      </w:r>
      <w:r w:rsidR="00E03BEF" w:rsidRPr="00B26CE1">
        <w:rPr>
          <w:lang w:val="en-US" w:eastAsia="en-US"/>
        </w:rPr>
        <w:t>n</w:t>
      </w:r>
      <w:r w:rsidR="00DE198E" w:rsidRPr="00B26CE1">
        <w:t> </w:t>
      </w:r>
      <w:r w:rsidR="00E03BEF" w:rsidRPr="00B26CE1">
        <w:t>=</w:t>
      </w:r>
      <w:r w:rsidR="00DE198E" w:rsidRPr="00B26CE1">
        <w:t> </w:t>
      </w:r>
      <w:r w:rsidR="00E03BEF" w:rsidRPr="00B26CE1">
        <w:t xml:space="preserve">426) или адефовира дипивоксил </w:t>
      </w:r>
      <w:r w:rsidR="0034026F" w:rsidRPr="00B26CE1">
        <w:t>10 </w:t>
      </w:r>
      <w:r w:rsidR="00E03BEF" w:rsidRPr="00B26CE1">
        <w:t>мг ежедневно (</w:t>
      </w:r>
      <w:r w:rsidR="00E03BEF" w:rsidRPr="00B26CE1">
        <w:rPr>
          <w:lang w:val="en-US" w:eastAsia="en-US"/>
        </w:rPr>
        <w:t>n</w:t>
      </w:r>
      <w:r w:rsidR="00DE198E" w:rsidRPr="00B26CE1">
        <w:t> </w:t>
      </w:r>
      <w:r w:rsidR="00E03BEF" w:rsidRPr="00B26CE1">
        <w:t>=</w:t>
      </w:r>
      <w:r w:rsidR="00DE198E" w:rsidRPr="00B26CE1">
        <w:t> </w:t>
      </w:r>
      <w:r w:rsidR="00E03BEF" w:rsidRPr="00B26CE1">
        <w:t>215) в течение 48</w:t>
      </w:r>
      <w:r w:rsidR="000A661A" w:rsidRPr="00B26CE1">
        <w:t> </w:t>
      </w:r>
      <w:r w:rsidR="00E03BEF" w:rsidRPr="00B26CE1">
        <w:t xml:space="preserve">недель. Побочные реакции, которые наблюдались в течение </w:t>
      </w:r>
      <w:r w:rsidR="003845CD" w:rsidRPr="00B26CE1">
        <w:t>384</w:t>
      </w:r>
      <w:r w:rsidR="00E03BEF" w:rsidRPr="00B26CE1">
        <w:t>-недельного беспрерывного лечения, соответствовали профилю безопасности тенофовира</w:t>
      </w:r>
      <w:r w:rsidR="003845CD" w:rsidRPr="00B26CE1">
        <w:t xml:space="preserve"> дизопроксила фумарата</w:t>
      </w:r>
      <w:r w:rsidR="00E03BEF" w:rsidRPr="00B26CE1">
        <w:t>.</w:t>
      </w:r>
      <w:r w:rsidR="003845CD" w:rsidRPr="00B26CE1">
        <w:t xml:space="preserve"> После первоначального снижения примерно на 4,9</w:t>
      </w:r>
      <w:r w:rsidR="000A661A" w:rsidRPr="00B26CE1">
        <w:t> </w:t>
      </w:r>
      <w:r w:rsidR="003845CD" w:rsidRPr="00B26CE1">
        <w:t>мл/мин (по формуле Кокрофта-Голта) или 3,9</w:t>
      </w:r>
      <w:r w:rsidR="000A661A" w:rsidRPr="00B26CE1">
        <w:t> </w:t>
      </w:r>
      <w:r w:rsidR="003845CD" w:rsidRPr="00B26CE1">
        <w:t>мл/мин/1,73</w:t>
      </w:r>
      <w:r w:rsidR="000A661A" w:rsidRPr="00B26CE1">
        <w:t> </w:t>
      </w:r>
      <w:r w:rsidR="003845CD" w:rsidRPr="00B26CE1">
        <w:t>м</w:t>
      </w:r>
      <w:r w:rsidR="001C167A" w:rsidRPr="00B26CE1">
        <w:rPr>
          <w:vertAlign w:val="superscript"/>
        </w:rPr>
        <w:t>2</w:t>
      </w:r>
      <w:r w:rsidR="003845CD" w:rsidRPr="00B26CE1">
        <w:t xml:space="preserve"> (по формуле модификации диеты при почечных заболеваниях [</w:t>
      </w:r>
      <w:r w:rsidR="003845CD" w:rsidRPr="00B26CE1">
        <w:rPr>
          <w:lang w:val="en-US"/>
        </w:rPr>
        <w:t>MDRD</w:t>
      </w:r>
      <w:r w:rsidR="003845CD" w:rsidRPr="00B26CE1">
        <w:t>]) по истечении первых 4</w:t>
      </w:r>
      <w:r w:rsidR="000A661A" w:rsidRPr="00B26CE1">
        <w:t> </w:t>
      </w:r>
      <w:r w:rsidR="003845CD" w:rsidRPr="00B26CE1">
        <w:t>недель лечения скорость ежегодного снижения почечной функции по сравнению с исходной, отмеченная у пациентов, получавших тенофовира дизопроксила фумарат, составила 1,41</w:t>
      </w:r>
      <w:r w:rsidR="000A661A" w:rsidRPr="00B26CE1">
        <w:t> </w:t>
      </w:r>
      <w:r w:rsidR="003845CD" w:rsidRPr="00B26CE1">
        <w:t>мл/мин в год (по формуле Кокрофта-Голта) или 0,74</w:t>
      </w:r>
      <w:r w:rsidR="000A661A" w:rsidRPr="00B26CE1">
        <w:t> </w:t>
      </w:r>
      <w:r w:rsidR="003845CD" w:rsidRPr="00B26CE1">
        <w:t>мл/мин/1,73</w:t>
      </w:r>
      <w:r w:rsidR="000A661A" w:rsidRPr="00B26CE1">
        <w:t> </w:t>
      </w:r>
      <w:r w:rsidR="003845CD" w:rsidRPr="00B26CE1">
        <w:t>м</w:t>
      </w:r>
      <w:r w:rsidR="001C167A" w:rsidRPr="00B26CE1">
        <w:rPr>
          <w:vertAlign w:val="superscript"/>
        </w:rPr>
        <w:t>2</w:t>
      </w:r>
      <w:r w:rsidR="003845CD" w:rsidRPr="00B26CE1">
        <w:t xml:space="preserve"> (по формуле </w:t>
      </w:r>
      <w:r w:rsidR="003845CD" w:rsidRPr="00B26CE1">
        <w:rPr>
          <w:lang w:val="en-US"/>
        </w:rPr>
        <w:t>MDRD</w:t>
      </w:r>
      <w:r w:rsidR="003845CD" w:rsidRPr="00B26CE1">
        <w:t>)</w:t>
      </w:r>
      <w:r w:rsidR="00DE198E" w:rsidRPr="00B26CE1">
        <w:t>.</w:t>
      </w:r>
    </w:p>
    <w:p w14:paraId="7E985B47" w14:textId="77777777" w:rsidR="00E03BEF" w:rsidRPr="00B26CE1" w:rsidRDefault="00E03BEF" w:rsidP="00B26CE1">
      <w:pPr>
        <w:spacing w:line="360" w:lineRule="auto"/>
        <w:jc w:val="both"/>
      </w:pPr>
      <w:r w:rsidRPr="00B26CE1">
        <w:rPr>
          <w:i/>
          <w:iCs/>
        </w:rPr>
        <w:t>Пациенты с декомпенсированным заболеванием печени</w:t>
      </w:r>
      <w:r w:rsidR="000A661A" w:rsidRPr="00B26CE1">
        <w:rPr>
          <w:i/>
          <w:iCs/>
        </w:rPr>
        <w:t xml:space="preserve">: </w:t>
      </w:r>
      <w:r w:rsidRPr="00B26CE1">
        <w:t>Профиль безопасности тенофовира</w:t>
      </w:r>
      <w:r w:rsidR="00774544" w:rsidRPr="00B26CE1">
        <w:t xml:space="preserve"> дизопроксила фумарата</w:t>
      </w:r>
      <w:r w:rsidRPr="00B26CE1">
        <w:t xml:space="preserve"> у пациентов с декомпенсированным заболеванием печени оценивался в двойном слепом активном контролируемом исследовании, в котором взрослые пациенты в течение 48</w:t>
      </w:r>
      <w:r w:rsidR="000A661A" w:rsidRPr="00B26CE1">
        <w:t> </w:t>
      </w:r>
      <w:r w:rsidRPr="00B26CE1">
        <w:t>недель получали тенофовир</w:t>
      </w:r>
      <w:r w:rsidR="00774544" w:rsidRPr="00B26CE1">
        <w:t>а дизопроксила фумарат</w:t>
      </w:r>
      <w:r w:rsidRPr="00B26CE1">
        <w:t xml:space="preserve"> (</w:t>
      </w:r>
      <w:r w:rsidRPr="00B26CE1">
        <w:rPr>
          <w:lang w:val="en-US" w:eastAsia="en-US"/>
        </w:rPr>
        <w:t>n</w:t>
      </w:r>
      <w:r w:rsidR="00DE198E" w:rsidRPr="00B26CE1">
        <w:rPr>
          <w:lang w:eastAsia="en-US"/>
        </w:rPr>
        <w:t> </w:t>
      </w:r>
      <w:r w:rsidRPr="00B26CE1">
        <w:t>=</w:t>
      </w:r>
      <w:r w:rsidR="00DE198E" w:rsidRPr="00B26CE1">
        <w:t> </w:t>
      </w:r>
      <w:r w:rsidR="000A661A" w:rsidRPr="00B26CE1">
        <w:t>45) или эмтрицитабин</w:t>
      </w:r>
      <w:r w:rsidR="00B04D56" w:rsidRPr="00B26CE1">
        <w:t> + </w:t>
      </w:r>
      <w:r w:rsidRPr="00B26CE1">
        <w:t>тенофовир</w:t>
      </w:r>
      <w:r w:rsidR="00774544" w:rsidRPr="00B26CE1">
        <w:t>а дизопроксила фумарат</w:t>
      </w:r>
      <w:r w:rsidRPr="00B26CE1">
        <w:t xml:space="preserve"> (</w:t>
      </w:r>
      <w:r w:rsidRPr="00B26CE1">
        <w:rPr>
          <w:lang w:val="en-US" w:eastAsia="en-US"/>
        </w:rPr>
        <w:t>n</w:t>
      </w:r>
      <w:r w:rsidR="00DE198E" w:rsidRPr="00B26CE1">
        <w:rPr>
          <w:lang w:eastAsia="en-US"/>
        </w:rPr>
        <w:t> </w:t>
      </w:r>
      <w:r w:rsidRPr="00B26CE1">
        <w:t>=</w:t>
      </w:r>
      <w:r w:rsidR="00DE198E" w:rsidRPr="00B26CE1">
        <w:t> </w:t>
      </w:r>
      <w:r w:rsidRPr="00B26CE1">
        <w:t>45), или энтекавир (</w:t>
      </w:r>
      <w:r w:rsidRPr="00B26CE1">
        <w:rPr>
          <w:lang w:val="en-US" w:eastAsia="en-US"/>
        </w:rPr>
        <w:t>n</w:t>
      </w:r>
      <w:r w:rsidR="00DE198E" w:rsidRPr="00B26CE1">
        <w:t> </w:t>
      </w:r>
      <w:r w:rsidRPr="00B26CE1">
        <w:t>=</w:t>
      </w:r>
      <w:r w:rsidR="00DE198E" w:rsidRPr="00B26CE1">
        <w:t> </w:t>
      </w:r>
      <w:r w:rsidRPr="00B26CE1">
        <w:t>22).</w:t>
      </w:r>
    </w:p>
    <w:p w14:paraId="35F2B026" w14:textId="77777777" w:rsidR="00E03BEF" w:rsidRPr="00B26CE1" w:rsidRDefault="00E03BEF" w:rsidP="00B26CE1">
      <w:pPr>
        <w:spacing w:line="360" w:lineRule="auto"/>
        <w:jc w:val="both"/>
      </w:pPr>
      <w:r w:rsidRPr="00B26CE1">
        <w:t>В группе тенофовира</w:t>
      </w:r>
      <w:r w:rsidR="00774544" w:rsidRPr="00B26CE1">
        <w:t xml:space="preserve"> дизопроксила фумарата</w:t>
      </w:r>
      <w:r w:rsidRPr="00B26CE1">
        <w:t xml:space="preserve"> </w:t>
      </w:r>
      <w:r w:rsidR="00210C5B" w:rsidRPr="00B26CE1">
        <w:t>7 </w:t>
      </w:r>
      <w:r w:rsidRPr="00B26CE1">
        <w:t xml:space="preserve">% пациентов прекратили лечение в связи с побочными реакциями; </w:t>
      </w:r>
      <w:r w:rsidR="00BF014E" w:rsidRPr="00B26CE1">
        <w:t>9 </w:t>
      </w:r>
      <w:r w:rsidRPr="00B26CE1">
        <w:t>% пациентов на протяжении 48</w:t>
      </w:r>
      <w:r w:rsidR="000A661A" w:rsidRPr="00B26CE1">
        <w:t> </w:t>
      </w:r>
      <w:r w:rsidRPr="00B26CE1">
        <w:t>недель имели подтвержденный повышенный сывороточный креатинин ≥0,5 мг/дл или подтвержденную концентрацию сывороточного фосфата &lt;2</w:t>
      </w:r>
      <w:r w:rsidR="005F650E" w:rsidRPr="00B26CE1">
        <w:t> </w:t>
      </w:r>
      <w:r w:rsidRPr="00B26CE1">
        <w:t xml:space="preserve">мг/дл; статистически значимых отличий между группой </w:t>
      </w:r>
      <w:r w:rsidRPr="00B26CE1">
        <w:lastRenderedPageBreak/>
        <w:t>комбинированного лечения на основе тенофовира</w:t>
      </w:r>
      <w:r w:rsidR="00774544" w:rsidRPr="00B26CE1">
        <w:t xml:space="preserve"> дизопроксила фумарата</w:t>
      </w:r>
      <w:r w:rsidRPr="00B26CE1">
        <w:t xml:space="preserve"> и группой энтекавира не было. Через 168</w:t>
      </w:r>
      <w:r w:rsidR="000A661A" w:rsidRPr="00B26CE1">
        <w:t> </w:t>
      </w:r>
      <w:r w:rsidRPr="00B26CE1">
        <w:t xml:space="preserve">недель у </w:t>
      </w:r>
      <w:r w:rsidR="00210C5B" w:rsidRPr="00B26CE1">
        <w:t>16 </w:t>
      </w:r>
      <w:r w:rsidRPr="00B26CE1">
        <w:t>% (7/45) пациентов из группы тенофовира</w:t>
      </w:r>
      <w:r w:rsidR="00774544" w:rsidRPr="00B26CE1">
        <w:t xml:space="preserve"> дизопроксила фумарата</w:t>
      </w:r>
      <w:r w:rsidRPr="00B26CE1">
        <w:t xml:space="preserve">, </w:t>
      </w:r>
      <w:r w:rsidR="00210C5B" w:rsidRPr="00B26CE1">
        <w:t>4 </w:t>
      </w:r>
      <w:r w:rsidRPr="00B26CE1">
        <w:t>% (2/45) из группы эмтрицитабин</w:t>
      </w:r>
      <w:r w:rsidR="00B04D56" w:rsidRPr="00B26CE1">
        <w:t> + </w:t>
      </w:r>
      <w:r w:rsidRPr="00B26CE1">
        <w:t>тенофовира</w:t>
      </w:r>
      <w:r w:rsidR="00774544" w:rsidRPr="00B26CE1">
        <w:t xml:space="preserve"> дизопроксила фумарат</w:t>
      </w:r>
      <w:r w:rsidRPr="00B26CE1">
        <w:t xml:space="preserve"> и </w:t>
      </w:r>
      <w:r w:rsidR="00210C5B" w:rsidRPr="00B26CE1">
        <w:t>14 </w:t>
      </w:r>
      <w:r w:rsidRPr="00B26CE1">
        <w:t xml:space="preserve">% (3/22) из группы энтекавира наблюдалось нарушение переносимости. У </w:t>
      </w:r>
      <w:r w:rsidR="00210C5B" w:rsidRPr="00B26CE1">
        <w:t>13 </w:t>
      </w:r>
      <w:r w:rsidRPr="00B26CE1">
        <w:t>% (6/45) пациентов из группы тенофовира</w:t>
      </w:r>
      <w:r w:rsidR="00774544" w:rsidRPr="00B26CE1">
        <w:t xml:space="preserve"> дизопроксила фумарата</w:t>
      </w:r>
      <w:r w:rsidRPr="00B26CE1">
        <w:t xml:space="preserve">, </w:t>
      </w:r>
      <w:r w:rsidR="00210C5B" w:rsidRPr="00B26CE1">
        <w:t>13 </w:t>
      </w:r>
      <w:r w:rsidRPr="00B26CE1">
        <w:t>% (6/45) из группы эмтрицитабин</w:t>
      </w:r>
      <w:r w:rsidR="00B04D56" w:rsidRPr="00B26CE1">
        <w:t> + </w:t>
      </w:r>
      <w:r w:rsidRPr="00B26CE1">
        <w:t>тенофовира</w:t>
      </w:r>
      <w:r w:rsidR="00774544" w:rsidRPr="00B26CE1">
        <w:t xml:space="preserve"> дизопроксила фумарат</w:t>
      </w:r>
      <w:r w:rsidRPr="00B26CE1">
        <w:t xml:space="preserve"> и </w:t>
      </w:r>
      <w:r w:rsidR="00210C5B" w:rsidRPr="00B26CE1">
        <w:t>9 </w:t>
      </w:r>
      <w:r w:rsidRPr="00B26CE1">
        <w:t xml:space="preserve">% (2/22) из группы энтекавира </w:t>
      </w:r>
      <w:r w:rsidR="00774544" w:rsidRPr="00B26CE1">
        <w:t xml:space="preserve">наблюдалось подтвержденное повышение сывороточного </w:t>
      </w:r>
      <w:r w:rsidRPr="00B26CE1">
        <w:t>креатинин</w:t>
      </w:r>
      <w:r w:rsidR="00774544" w:rsidRPr="00B26CE1">
        <w:t>а</w:t>
      </w:r>
      <w:r w:rsidRPr="00B26CE1">
        <w:t xml:space="preserve"> ≥0,5 мг/дл или </w:t>
      </w:r>
      <w:r w:rsidR="00774544" w:rsidRPr="00B26CE1">
        <w:t xml:space="preserve">подтвержденное снижение концентрации </w:t>
      </w:r>
      <w:r w:rsidRPr="00B26CE1">
        <w:t>сывороточного фосфата &lt;2 мг/дл.</w:t>
      </w:r>
    </w:p>
    <w:p w14:paraId="3A5C774C" w14:textId="77777777" w:rsidR="00E03BEF" w:rsidRPr="00B26CE1" w:rsidRDefault="00E03BEF" w:rsidP="00B26CE1">
      <w:pPr>
        <w:spacing w:line="360" w:lineRule="auto"/>
        <w:jc w:val="both"/>
      </w:pPr>
      <w:r w:rsidRPr="00B26CE1">
        <w:t>На 168-й</w:t>
      </w:r>
      <w:r w:rsidR="000A661A" w:rsidRPr="00B26CE1">
        <w:t xml:space="preserve"> </w:t>
      </w:r>
      <w:r w:rsidRPr="00B26CE1">
        <w:t xml:space="preserve">неделе в данной популяции пациентов с декомпенсированной печеночной недостаточностью уровень смертности составил </w:t>
      </w:r>
      <w:r w:rsidR="00210C5B" w:rsidRPr="00B26CE1">
        <w:t>13 </w:t>
      </w:r>
      <w:r w:rsidRPr="00B26CE1">
        <w:t>% (6/45) в группе тенофовира</w:t>
      </w:r>
      <w:r w:rsidR="00C11290" w:rsidRPr="00B26CE1">
        <w:t xml:space="preserve"> дизопроксила фумарата</w:t>
      </w:r>
      <w:r w:rsidRPr="00B26CE1">
        <w:t xml:space="preserve">, </w:t>
      </w:r>
      <w:r w:rsidR="00210C5B" w:rsidRPr="00B26CE1">
        <w:t>11 </w:t>
      </w:r>
      <w:r w:rsidRPr="00B26CE1">
        <w:t>% (5/45) в группе эмтрицитабин</w:t>
      </w:r>
      <w:r w:rsidR="00B04D56" w:rsidRPr="00B26CE1">
        <w:t> + </w:t>
      </w:r>
      <w:r w:rsidRPr="00B26CE1">
        <w:t>тенофовир</w:t>
      </w:r>
      <w:r w:rsidR="00C11290" w:rsidRPr="00B26CE1">
        <w:t>а дизопроксила фумарат</w:t>
      </w:r>
      <w:r w:rsidRPr="00B26CE1">
        <w:t xml:space="preserve"> и </w:t>
      </w:r>
      <w:r w:rsidR="00210C5B" w:rsidRPr="00B26CE1">
        <w:t>14 </w:t>
      </w:r>
      <w:r w:rsidRPr="00B26CE1">
        <w:t xml:space="preserve">% (3/22) в группе энтекавира. Доля печеночно-клеточного рака составила </w:t>
      </w:r>
      <w:r w:rsidR="00210C5B" w:rsidRPr="00B26CE1">
        <w:t>18 </w:t>
      </w:r>
      <w:r w:rsidRPr="00B26CE1">
        <w:t>% (8/45) в группе тенофовира</w:t>
      </w:r>
      <w:r w:rsidR="00C11290" w:rsidRPr="00B26CE1">
        <w:t xml:space="preserve"> дизопроксила фумарата</w:t>
      </w:r>
      <w:r w:rsidRPr="00B26CE1">
        <w:t xml:space="preserve">, </w:t>
      </w:r>
      <w:r w:rsidR="00210C5B" w:rsidRPr="00B26CE1">
        <w:t>7 </w:t>
      </w:r>
      <w:r w:rsidRPr="00B26CE1">
        <w:t>% (3/45) в группе эмтрицитабин</w:t>
      </w:r>
      <w:r w:rsidR="005F650E" w:rsidRPr="00B26CE1">
        <w:t> </w:t>
      </w:r>
      <w:r w:rsidRPr="00B26CE1">
        <w:t>+</w:t>
      </w:r>
      <w:r w:rsidR="005F650E" w:rsidRPr="00B26CE1">
        <w:t> </w:t>
      </w:r>
      <w:r w:rsidRPr="00B26CE1">
        <w:t>тенофовир</w:t>
      </w:r>
      <w:r w:rsidR="00C11290" w:rsidRPr="00B26CE1">
        <w:t>а дизопроксила фумарат</w:t>
      </w:r>
      <w:r w:rsidRPr="00B26CE1">
        <w:t xml:space="preserve"> и </w:t>
      </w:r>
      <w:r w:rsidR="00210C5B" w:rsidRPr="00B26CE1">
        <w:t>9 </w:t>
      </w:r>
      <w:r w:rsidRPr="00B26CE1">
        <w:t>% (9/22) в группе энтекавира.</w:t>
      </w:r>
    </w:p>
    <w:p w14:paraId="0859821E" w14:textId="77777777" w:rsidR="00E03BEF" w:rsidRPr="00B26CE1" w:rsidRDefault="00E03BEF" w:rsidP="00B26CE1">
      <w:pPr>
        <w:spacing w:line="360" w:lineRule="auto"/>
        <w:jc w:val="both"/>
      </w:pPr>
      <w:r w:rsidRPr="00B26CE1">
        <w:t>Пациенты с исходно большим количеством баллов по классификации Чайлд-Пью имели больший риск развития серьезных побочных реакций (см. раздел «Особые указания»).</w:t>
      </w:r>
    </w:p>
    <w:p w14:paraId="6CE174C4" w14:textId="77777777" w:rsidR="004D411B" w:rsidRDefault="00E03BEF" w:rsidP="00A77E51">
      <w:pPr>
        <w:spacing w:line="360" w:lineRule="auto"/>
        <w:jc w:val="both"/>
      </w:pPr>
      <w:r w:rsidRPr="003D04B5">
        <w:rPr>
          <w:i/>
          <w:iCs/>
        </w:rPr>
        <w:t>Пациенты с наличием резистентности ВГВ к ламивудину</w:t>
      </w:r>
      <w:r w:rsidR="005236B2">
        <w:rPr>
          <w:i/>
          <w:iCs/>
        </w:rPr>
        <w:t xml:space="preserve">: </w:t>
      </w:r>
      <w:proofErr w:type="gramStart"/>
      <w:r w:rsidRPr="003D04B5">
        <w:t>В</w:t>
      </w:r>
      <w:proofErr w:type="gramEnd"/>
      <w:r w:rsidRPr="003D04B5">
        <w:t xml:space="preserve"> рандомизированном двойном слепом исследовании, в ходе которого 280</w:t>
      </w:r>
      <w:r w:rsidR="008B7855">
        <w:t> </w:t>
      </w:r>
      <w:r w:rsidR="004D411B" w:rsidRPr="003D04B5">
        <w:t xml:space="preserve">пациентов </w:t>
      </w:r>
      <w:r w:rsidR="004D411B">
        <w:t xml:space="preserve">с резистентностью к </w:t>
      </w:r>
      <w:r w:rsidRPr="003D04B5">
        <w:t>ламивудин</w:t>
      </w:r>
      <w:r w:rsidR="004D411B">
        <w:t>у</w:t>
      </w:r>
      <w:r w:rsidRPr="003D04B5">
        <w:t xml:space="preserve"> в течение </w:t>
      </w:r>
      <w:r w:rsidR="004D411B">
        <w:t>240</w:t>
      </w:r>
      <w:r w:rsidR="008B7855">
        <w:t> </w:t>
      </w:r>
      <w:r w:rsidRPr="003D04B5">
        <w:t>недель получали тенофовир</w:t>
      </w:r>
      <w:r w:rsidR="004D411B">
        <w:t xml:space="preserve">а </w:t>
      </w:r>
      <w:r w:rsidR="004D411B" w:rsidRPr="00E03BEF">
        <w:t>дизопроксила фумарат</w:t>
      </w:r>
      <w:r w:rsidR="004D411B" w:rsidRPr="003D04B5">
        <w:t xml:space="preserve"> </w:t>
      </w:r>
      <w:r w:rsidRPr="003D04B5">
        <w:t>(</w:t>
      </w:r>
      <w:r w:rsidRPr="003D04B5">
        <w:rPr>
          <w:lang w:val="en-US" w:eastAsia="en-US"/>
        </w:rPr>
        <w:t>n</w:t>
      </w:r>
      <w:r w:rsidR="005236B2">
        <w:t> </w:t>
      </w:r>
      <w:r w:rsidRPr="003D04B5">
        <w:t>=</w:t>
      </w:r>
      <w:r w:rsidR="005236B2">
        <w:t> </w:t>
      </w:r>
      <w:r w:rsidRPr="003D04B5">
        <w:t>141) или эмтрицитабин</w:t>
      </w:r>
      <w:r w:rsidR="004D411B">
        <w:t>/</w:t>
      </w:r>
      <w:r w:rsidRPr="003D04B5">
        <w:t>тенофовир</w:t>
      </w:r>
      <w:r w:rsidR="004D411B">
        <w:t xml:space="preserve">а </w:t>
      </w:r>
      <w:r w:rsidR="004D411B" w:rsidRPr="00E03BEF">
        <w:t>дизопроксила фумарат</w:t>
      </w:r>
      <w:r w:rsidRPr="003D04B5">
        <w:t xml:space="preserve"> (</w:t>
      </w:r>
      <w:r w:rsidRPr="003D04B5">
        <w:rPr>
          <w:lang w:val="en-US" w:eastAsia="en-US"/>
        </w:rPr>
        <w:t>n</w:t>
      </w:r>
      <w:r w:rsidR="005236B2">
        <w:t> </w:t>
      </w:r>
      <w:r w:rsidRPr="003D04B5">
        <w:t>=</w:t>
      </w:r>
      <w:r w:rsidR="005236B2">
        <w:t> </w:t>
      </w:r>
      <w:r w:rsidRPr="003D04B5">
        <w:t>139), новых побочных реакций</w:t>
      </w:r>
      <w:r w:rsidR="004D411B">
        <w:t xml:space="preserve"> на тенофовира </w:t>
      </w:r>
      <w:r w:rsidR="004D411B" w:rsidRPr="00E03BEF">
        <w:t>дизопроксила фумарат</w:t>
      </w:r>
      <w:r w:rsidRPr="003D04B5">
        <w:t xml:space="preserve"> выявлено не было.</w:t>
      </w:r>
    </w:p>
    <w:p w14:paraId="20496211" w14:textId="77777777" w:rsidR="00E03BEF" w:rsidRPr="003D04B5" w:rsidRDefault="00E03BEF" w:rsidP="00A77E51">
      <w:pPr>
        <w:spacing w:line="360" w:lineRule="auto"/>
        <w:jc w:val="both"/>
      </w:pPr>
      <w:r w:rsidRPr="003D04B5">
        <w:t>Побочные реакции с потенциальной (или, как минимум, возможной) связью с лечением приводятся ниже по классам систем органов и частоте. В рамках каждой группы по частоте побочные реакции приведены в порядке уменьшения серьезности. Побочные реакции по частоте о</w:t>
      </w:r>
      <w:r w:rsidR="008B7855">
        <w:t>пределяются как</w:t>
      </w:r>
      <w:r w:rsidR="005236B2">
        <w:t>: очень часто (≥1/10), часто (</w:t>
      </w:r>
      <w:r w:rsidR="008B7855">
        <w:t>≥1/100</w:t>
      </w:r>
      <w:r w:rsidR="005236B2">
        <w:t>,</w:t>
      </w:r>
      <w:r w:rsidR="008B7855">
        <w:t xml:space="preserve"> &lt;</w:t>
      </w:r>
      <w:r w:rsidRPr="003D04B5">
        <w:t>1/10), нечасто (</w:t>
      </w:r>
      <w:r w:rsidR="008B7855">
        <w:t>≥</w:t>
      </w:r>
      <w:r w:rsidR="005236B2">
        <w:t>1/1000, &lt;1/100) и редко (</w:t>
      </w:r>
      <w:r w:rsidR="008B7855">
        <w:t>≥1/10</w:t>
      </w:r>
      <w:r w:rsidR="005236B2">
        <w:t>000,</w:t>
      </w:r>
      <w:r w:rsidR="008B7855">
        <w:t xml:space="preserve"> &lt;</w:t>
      </w:r>
      <w:r w:rsidRPr="003D04B5">
        <w:t>1/1000).</w:t>
      </w:r>
    </w:p>
    <w:p w14:paraId="3A43D827" w14:textId="77777777" w:rsidR="00E03BEF" w:rsidRPr="005236B2" w:rsidRDefault="003A0590" w:rsidP="00F30F2B">
      <w:pPr>
        <w:pStyle w:val="Style18"/>
        <w:spacing w:before="120" w:line="360" w:lineRule="auto"/>
        <w:jc w:val="right"/>
        <w:rPr>
          <w:i/>
          <w:sz w:val="24"/>
          <w:szCs w:val="24"/>
        </w:rPr>
      </w:pPr>
      <w:r w:rsidRPr="00E13213">
        <w:rPr>
          <w:rStyle w:val="CharStyle7"/>
          <w:i/>
          <w:sz w:val="24"/>
          <w:szCs w:val="24"/>
        </w:rPr>
        <w:t>Таблица 1</w:t>
      </w:r>
    </w:p>
    <w:p w14:paraId="57C82FED" w14:textId="77777777" w:rsidR="00E03BEF" w:rsidRPr="003D04B5" w:rsidRDefault="00E03BEF" w:rsidP="005236B2">
      <w:pPr>
        <w:pStyle w:val="Style18"/>
        <w:spacing w:after="120" w:line="276" w:lineRule="auto"/>
        <w:jc w:val="center"/>
        <w:rPr>
          <w:sz w:val="24"/>
          <w:szCs w:val="24"/>
        </w:rPr>
      </w:pPr>
      <w:r w:rsidRPr="003D04B5">
        <w:rPr>
          <w:rStyle w:val="CharStyle7"/>
          <w:sz w:val="24"/>
          <w:szCs w:val="24"/>
        </w:rPr>
        <w:t>Краткие данные о побочных реакциях, связанных с приемом тенофовира</w:t>
      </w:r>
      <w:r w:rsidR="005236B2">
        <w:rPr>
          <w:rStyle w:val="CharStyle7"/>
          <w:sz w:val="24"/>
          <w:szCs w:val="24"/>
        </w:rPr>
        <w:t xml:space="preserve"> дизопроксила фумарата</w:t>
      </w:r>
      <w:r w:rsidRPr="003D04B5">
        <w:rPr>
          <w:rStyle w:val="CharStyle7"/>
          <w:sz w:val="24"/>
          <w:szCs w:val="24"/>
        </w:rPr>
        <w:t xml:space="preserve">, на основании </w:t>
      </w:r>
      <w:r w:rsidR="00471C1E">
        <w:rPr>
          <w:rStyle w:val="CharStyle7"/>
          <w:sz w:val="24"/>
          <w:szCs w:val="24"/>
        </w:rPr>
        <w:t>КИ</w:t>
      </w:r>
      <w:r w:rsidR="00CA1702" w:rsidRPr="00561081">
        <w:rPr>
          <w:rStyle w:val="CharStyle7"/>
          <w:sz w:val="24"/>
          <w:szCs w:val="24"/>
        </w:rPr>
        <w:t xml:space="preserve"> и пострегистрационного анализа</w:t>
      </w:r>
    </w:p>
    <w:tbl>
      <w:tblPr>
        <w:tblW w:w="5000" w:type="pct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3972"/>
        <w:gridCol w:w="5361"/>
        <w:gridCol w:w="6"/>
      </w:tblGrid>
      <w:tr w:rsidR="00E03BEF" w:rsidRPr="003D04B5" w14:paraId="2A1A5DA9" w14:textId="77777777" w:rsidTr="00427C71"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762F" w14:textId="77777777" w:rsidR="00E03BEF" w:rsidRPr="003D04B5" w:rsidRDefault="00E03BEF" w:rsidP="00427C71">
            <w:pPr>
              <w:pStyle w:val="Style140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7"/>
                <w:sz w:val="24"/>
                <w:szCs w:val="24"/>
              </w:rPr>
              <w:t>Классы систем органов и частота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AFCE" w14:textId="77777777" w:rsidR="00E03BEF" w:rsidRPr="003D04B5" w:rsidRDefault="00E03BEF" w:rsidP="00427C71">
            <w:pPr>
              <w:pStyle w:val="Style140"/>
              <w:spacing w:line="360" w:lineRule="auto"/>
              <w:ind w:left="1627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7"/>
                <w:sz w:val="24"/>
                <w:szCs w:val="24"/>
              </w:rPr>
              <w:t>Побочные реакции</w:t>
            </w:r>
          </w:p>
        </w:tc>
      </w:tr>
      <w:tr w:rsidR="00E03BEF" w:rsidRPr="003D04B5" w14:paraId="0771D657" w14:textId="77777777" w:rsidTr="00427C71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DE8E" w14:textId="77777777" w:rsidR="00E03BEF" w:rsidRPr="00427C71" w:rsidRDefault="00E03BEF" w:rsidP="00427C71">
            <w:pPr>
              <w:pStyle w:val="Style17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27C71">
              <w:rPr>
                <w:rStyle w:val="CharStyle14"/>
                <w:b/>
                <w:sz w:val="24"/>
                <w:szCs w:val="24"/>
              </w:rPr>
              <w:t>Нарушения со стороны обмена веществ и питания</w:t>
            </w:r>
          </w:p>
        </w:tc>
      </w:tr>
      <w:tr w:rsidR="00E03BEF" w:rsidRPr="003D04B5" w14:paraId="6A5CA114" w14:textId="77777777" w:rsidTr="00427C71"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7889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Очень часто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EAB2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Гипофосфатемия</w:t>
            </w:r>
            <w:r w:rsidRPr="003D04B5">
              <w:rPr>
                <w:rStyle w:val="CharStyle9"/>
                <w:sz w:val="24"/>
                <w:szCs w:val="24"/>
                <w:vertAlign w:val="superscript"/>
              </w:rPr>
              <w:t>1</w:t>
            </w:r>
          </w:p>
        </w:tc>
      </w:tr>
      <w:tr w:rsidR="00E03BEF" w:rsidRPr="003D04B5" w14:paraId="7CBA70B3" w14:textId="77777777" w:rsidTr="00427C71"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641D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Нечасто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A34C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Гипокалиемия</w:t>
            </w:r>
            <w:r w:rsidRPr="003D04B5">
              <w:rPr>
                <w:rStyle w:val="CharStyle9"/>
                <w:sz w:val="24"/>
                <w:szCs w:val="24"/>
                <w:vertAlign w:val="superscript"/>
              </w:rPr>
              <w:t>1</w:t>
            </w:r>
          </w:p>
        </w:tc>
      </w:tr>
      <w:tr w:rsidR="00E03BEF" w:rsidRPr="003D04B5" w14:paraId="2AACAFB6" w14:textId="77777777" w:rsidTr="00427C71"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77EB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Редко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33A3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Лактоацидоз</w:t>
            </w:r>
          </w:p>
        </w:tc>
      </w:tr>
      <w:tr w:rsidR="00E03BEF" w:rsidRPr="003D04B5" w14:paraId="78AF3D26" w14:textId="77777777" w:rsidTr="00427C71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9523" w14:textId="77777777" w:rsidR="00E03BEF" w:rsidRPr="00427C71" w:rsidRDefault="00E03BEF" w:rsidP="00427C71">
            <w:pPr>
              <w:pStyle w:val="Style17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27C71">
              <w:rPr>
                <w:rStyle w:val="CharStyle14"/>
                <w:b/>
                <w:sz w:val="24"/>
                <w:szCs w:val="24"/>
              </w:rPr>
              <w:lastRenderedPageBreak/>
              <w:t>Нарушения со стороны нервной системы</w:t>
            </w:r>
          </w:p>
        </w:tc>
      </w:tr>
      <w:tr w:rsidR="00E03BEF" w:rsidRPr="003D04B5" w14:paraId="4CEF14EC" w14:textId="77777777" w:rsidTr="00427C71"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C80C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Очень часто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6E44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Головокружение</w:t>
            </w:r>
          </w:p>
        </w:tc>
      </w:tr>
      <w:tr w:rsidR="00E03BEF" w:rsidRPr="003D04B5" w14:paraId="06EB0D79" w14:textId="77777777" w:rsidTr="00427C71"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82FF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Часто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1B45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Головная боль</w:t>
            </w:r>
          </w:p>
        </w:tc>
      </w:tr>
      <w:tr w:rsidR="00E03BEF" w:rsidRPr="003D04B5" w14:paraId="3126A03E" w14:textId="77777777" w:rsidTr="00427C71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18D" w14:textId="77777777" w:rsidR="00E03BEF" w:rsidRPr="00427C71" w:rsidRDefault="00E03BEF" w:rsidP="00427C71">
            <w:pPr>
              <w:pStyle w:val="Style17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27C71">
              <w:rPr>
                <w:rStyle w:val="CharStyle14"/>
                <w:b/>
                <w:sz w:val="24"/>
                <w:szCs w:val="24"/>
              </w:rPr>
              <w:t>Нарушения со стороны желудочно-кишечного тракта</w:t>
            </w:r>
          </w:p>
        </w:tc>
      </w:tr>
      <w:tr w:rsidR="00E03BEF" w:rsidRPr="003D04B5" w14:paraId="64490526" w14:textId="77777777" w:rsidTr="00427C71"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2FD6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Очень часто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EFE5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Диарея, рвота, тошнота</w:t>
            </w:r>
          </w:p>
        </w:tc>
      </w:tr>
      <w:tr w:rsidR="00E03BEF" w:rsidRPr="003D04B5" w14:paraId="4BFA3505" w14:textId="77777777" w:rsidTr="00427C71"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5E4A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Часто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4C5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Боль в животе, вздутие, метеоризм</w:t>
            </w:r>
          </w:p>
        </w:tc>
      </w:tr>
      <w:tr w:rsidR="00E03BEF" w:rsidRPr="003D04B5" w14:paraId="4C35A5B3" w14:textId="77777777" w:rsidTr="00427C71"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D748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Нечасто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D685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Панкреатит</w:t>
            </w:r>
          </w:p>
        </w:tc>
      </w:tr>
      <w:tr w:rsidR="00E03BEF" w:rsidRPr="003D04B5" w14:paraId="698A8E3F" w14:textId="77777777" w:rsidTr="00427C71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A7C2" w14:textId="77777777" w:rsidR="00E03BEF" w:rsidRPr="00427C71" w:rsidRDefault="00E03BEF" w:rsidP="00427C71">
            <w:pPr>
              <w:pStyle w:val="Style17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27C71">
              <w:rPr>
                <w:rStyle w:val="CharStyle14"/>
                <w:b/>
                <w:sz w:val="24"/>
                <w:szCs w:val="24"/>
              </w:rPr>
              <w:t>Нарушения со стороны печени и желчевыводящих путей</w:t>
            </w:r>
          </w:p>
        </w:tc>
      </w:tr>
      <w:tr w:rsidR="00E03BEF" w:rsidRPr="003D04B5" w14:paraId="20CA8FA6" w14:textId="77777777" w:rsidTr="00427C71"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FFC0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Часто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1BB3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Повышение активности «печеночных» трансаминаз</w:t>
            </w:r>
          </w:p>
        </w:tc>
      </w:tr>
      <w:tr w:rsidR="00E03BEF" w:rsidRPr="003D04B5" w14:paraId="1193CC78" w14:textId="77777777" w:rsidTr="00427C71"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A32E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Редко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E751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Жировая дистрофия печени, гепатит</w:t>
            </w:r>
          </w:p>
        </w:tc>
      </w:tr>
      <w:tr w:rsidR="00E03BEF" w:rsidRPr="003D04B5" w14:paraId="2420A8D5" w14:textId="77777777" w:rsidTr="00427C71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DA5A" w14:textId="77777777" w:rsidR="00E03BEF" w:rsidRPr="00427C71" w:rsidRDefault="00E03BEF" w:rsidP="00427C71">
            <w:pPr>
              <w:pStyle w:val="Style17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27C71">
              <w:rPr>
                <w:rStyle w:val="CharStyle14"/>
                <w:b/>
                <w:sz w:val="24"/>
                <w:szCs w:val="24"/>
              </w:rPr>
              <w:t>Нарушения со стороны кожи и подкожных тканей</w:t>
            </w:r>
          </w:p>
        </w:tc>
      </w:tr>
      <w:tr w:rsidR="00E03BEF" w:rsidRPr="003D04B5" w14:paraId="546DC973" w14:textId="77777777" w:rsidTr="00427C71"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A9DB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Очень часто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EC0E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Кожная сыпь</w:t>
            </w:r>
          </w:p>
        </w:tc>
      </w:tr>
      <w:tr w:rsidR="00E03BEF" w:rsidRPr="003D04B5" w14:paraId="741F1FE5" w14:textId="77777777" w:rsidTr="00427C71"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1E11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Редко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2B1F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Ангионевротический отек</w:t>
            </w:r>
          </w:p>
        </w:tc>
      </w:tr>
      <w:tr w:rsidR="00E03BEF" w:rsidRPr="003D04B5" w14:paraId="497C4ED0" w14:textId="77777777" w:rsidTr="00427C71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9A03" w14:textId="77777777" w:rsidR="00E03BEF" w:rsidRPr="00427C71" w:rsidRDefault="00E03BEF" w:rsidP="00427C71">
            <w:pPr>
              <w:pStyle w:val="Style17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27C71">
              <w:rPr>
                <w:rStyle w:val="CharStyle14"/>
                <w:b/>
                <w:sz w:val="24"/>
                <w:szCs w:val="24"/>
              </w:rPr>
              <w:t>Нарушения со стороны скелетно-мышечной и соединительной ткани</w:t>
            </w:r>
          </w:p>
        </w:tc>
      </w:tr>
      <w:tr w:rsidR="00E03BEF" w:rsidRPr="003D04B5" w14:paraId="1820D13D" w14:textId="77777777" w:rsidTr="00427C71"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66B7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Нечасто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5C90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Рабдомиолиз</w:t>
            </w:r>
            <w:r w:rsidRPr="003D04B5">
              <w:rPr>
                <w:rStyle w:val="CharStyle9"/>
                <w:sz w:val="24"/>
                <w:szCs w:val="24"/>
                <w:vertAlign w:val="superscript"/>
              </w:rPr>
              <w:t>1</w:t>
            </w:r>
            <w:r w:rsidRPr="003D04B5">
              <w:rPr>
                <w:rStyle w:val="CharStyle9"/>
                <w:sz w:val="24"/>
                <w:szCs w:val="24"/>
              </w:rPr>
              <w:t>, мышечная слабость</w:t>
            </w:r>
            <w:r w:rsidRPr="003D04B5">
              <w:rPr>
                <w:rStyle w:val="CharStyle9"/>
                <w:sz w:val="24"/>
                <w:szCs w:val="24"/>
                <w:vertAlign w:val="superscript"/>
              </w:rPr>
              <w:t>1</w:t>
            </w:r>
          </w:p>
        </w:tc>
      </w:tr>
      <w:tr w:rsidR="00E03BEF" w:rsidRPr="003D04B5" w14:paraId="12EBAE3C" w14:textId="77777777" w:rsidTr="00427C71">
        <w:trPr>
          <w:trHeight w:val="475"/>
        </w:trPr>
        <w:tc>
          <w:tcPr>
            <w:tcW w:w="21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07CB3B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Редко</w:t>
            </w:r>
          </w:p>
        </w:tc>
        <w:tc>
          <w:tcPr>
            <w:tcW w:w="287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0C6781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Остеомаляция (проявляющаяся болями в костях и переломами костей в отдельных случаях)</w:t>
            </w:r>
            <w:r w:rsidR="00704504" w:rsidRPr="00704504">
              <w:rPr>
                <w:rStyle w:val="CharStyle9"/>
                <w:sz w:val="24"/>
                <w:szCs w:val="24"/>
                <w:vertAlign w:val="superscript"/>
              </w:rPr>
              <w:t>1,2</w:t>
            </w:r>
            <w:r w:rsidRPr="003D04B5">
              <w:rPr>
                <w:rStyle w:val="CharStyle9"/>
                <w:sz w:val="24"/>
                <w:szCs w:val="24"/>
              </w:rPr>
              <w:t>, миопатия</w:t>
            </w:r>
            <w:r w:rsidRPr="006D4285">
              <w:rPr>
                <w:rStyle w:val="CharStyle9"/>
                <w:sz w:val="24"/>
                <w:szCs w:val="24"/>
                <w:vertAlign w:val="superscript"/>
              </w:rPr>
              <w:t>1</w:t>
            </w:r>
          </w:p>
        </w:tc>
      </w:tr>
      <w:tr w:rsidR="00E03BEF" w:rsidRPr="003D04B5" w14:paraId="59F3753E" w14:textId="77777777" w:rsidTr="00427C71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FCA0" w14:textId="77777777" w:rsidR="00E03BEF" w:rsidRPr="00427C71" w:rsidRDefault="00E03BEF" w:rsidP="00427C71">
            <w:pPr>
              <w:pStyle w:val="Style17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27C71">
              <w:rPr>
                <w:rStyle w:val="CharStyle14"/>
                <w:b/>
                <w:sz w:val="24"/>
                <w:szCs w:val="24"/>
              </w:rPr>
              <w:t>Нарушения со стороны почек и мочевыводящих путей</w:t>
            </w:r>
          </w:p>
        </w:tc>
      </w:tr>
      <w:tr w:rsidR="00E03BEF" w:rsidRPr="003D04B5" w14:paraId="7E6B770C" w14:textId="77777777" w:rsidTr="00427C71">
        <w:trPr>
          <w:gridAfter w:val="1"/>
          <w:wAfter w:w="4" w:type="pct"/>
        </w:trPr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B3BF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Нечасто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99A0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Повышение креатинина</w:t>
            </w:r>
            <w:r w:rsidR="00E50CC5">
              <w:rPr>
                <w:rStyle w:val="CharStyle9"/>
                <w:sz w:val="24"/>
                <w:szCs w:val="24"/>
              </w:rPr>
              <w:t>,</w:t>
            </w:r>
            <w:r w:rsidR="00E50CC5" w:rsidRPr="003D04B5">
              <w:rPr>
                <w:rStyle w:val="CharStyle9"/>
                <w:sz w:val="24"/>
                <w:szCs w:val="24"/>
              </w:rPr>
              <w:t xml:space="preserve"> проксимальная почечная тубулопатия (</w:t>
            </w:r>
            <w:r w:rsidR="002840C4">
              <w:rPr>
                <w:rStyle w:val="CharStyle9"/>
                <w:sz w:val="24"/>
                <w:szCs w:val="24"/>
              </w:rPr>
              <w:t>в т.ч.</w:t>
            </w:r>
            <w:r w:rsidR="00E50CC5" w:rsidRPr="003D04B5">
              <w:rPr>
                <w:rStyle w:val="CharStyle9"/>
                <w:sz w:val="24"/>
                <w:szCs w:val="24"/>
              </w:rPr>
              <w:t xml:space="preserve"> синдром Фанкони)</w:t>
            </w:r>
          </w:p>
        </w:tc>
      </w:tr>
      <w:tr w:rsidR="00E03BEF" w:rsidRPr="003D04B5" w14:paraId="3BECE65C" w14:textId="77777777" w:rsidTr="00427C71">
        <w:trPr>
          <w:gridAfter w:val="1"/>
          <w:wAfter w:w="4" w:type="pct"/>
        </w:trPr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0516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Редко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1568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Острая почечная недостаточность, почечная недостаточность, острый тубулярный некроз, нефрит (</w:t>
            </w:r>
            <w:r w:rsidR="002840C4">
              <w:rPr>
                <w:rStyle w:val="CharStyle9"/>
                <w:sz w:val="24"/>
                <w:szCs w:val="24"/>
              </w:rPr>
              <w:t>в т.ч.</w:t>
            </w:r>
            <w:r w:rsidRPr="003D04B5">
              <w:rPr>
                <w:rStyle w:val="CharStyle9"/>
                <w:sz w:val="24"/>
                <w:szCs w:val="24"/>
              </w:rPr>
              <w:t xml:space="preserve"> острый </w:t>
            </w:r>
            <w:r w:rsidR="00210C5B" w:rsidRPr="003D04B5">
              <w:rPr>
                <w:rStyle w:val="CharStyle9"/>
                <w:sz w:val="24"/>
                <w:szCs w:val="24"/>
              </w:rPr>
              <w:t>интерстициальн</w:t>
            </w:r>
            <w:r w:rsidR="00210C5B">
              <w:rPr>
                <w:rStyle w:val="CharStyle9"/>
                <w:sz w:val="24"/>
                <w:szCs w:val="24"/>
              </w:rPr>
              <w:t>ы</w:t>
            </w:r>
            <w:r w:rsidR="00210C5B" w:rsidRPr="003D04B5">
              <w:rPr>
                <w:rStyle w:val="CharStyle9"/>
                <w:sz w:val="24"/>
                <w:szCs w:val="24"/>
              </w:rPr>
              <w:t xml:space="preserve">й </w:t>
            </w:r>
            <w:r w:rsidRPr="003D04B5">
              <w:rPr>
                <w:rStyle w:val="CharStyle9"/>
                <w:sz w:val="24"/>
                <w:szCs w:val="24"/>
              </w:rPr>
              <w:t>нефрит)</w:t>
            </w:r>
            <w:r w:rsidRPr="003D04B5">
              <w:rPr>
                <w:rStyle w:val="CharStyle9"/>
                <w:sz w:val="24"/>
                <w:szCs w:val="24"/>
                <w:vertAlign w:val="superscript"/>
              </w:rPr>
              <w:t>2</w:t>
            </w:r>
            <w:r w:rsidRPr="003D04B5">
              <w:rPr>
                <w:rStyle w:val="CharStyle9"/>
                <w:sz w:val="24"/>
                <w:szCs w:val="24"/>
              </w:rPr>
              <w:t>, нефрогенный несахарный диабет</w:t>
            </w:r>
          </w:p>
        </w:tc>
      </w:tr>
      <w:tr w:rsidR="00E03BEF" w:rsidRPr="003D04B5" w14:paraId="76BBB260" w14:textId="77777777" w:rsidTr="00427C71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3E60" w14:textId="77777777" w:rsidR="00E03BEF" w:rsidRPr="00427C71" w:rsidRDefault="00E03BEF" w:rsidP="00427C71">
            <w:pPr>
              <w:pStyle w:val="Style17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27C71">
              <w:rPr>
                <w:rStyle w:val="CharStyle14"/>
                <w:b/>
                <w:sz w:val="24"/>
                <w:szCs w:val="24"/>
              </w:rPr>
              <w:t>Общие расстройства и нарушения в месте введения</w:t>
            </w:r>
          </w:p>
        </w:tc>
      </w:tr>
      <w:tr w:rsidR="00E03BEF" w:rsidRPr="003D04B5" w14:paraId="19CFB4F9" w14:textId="77777777" w:rsidTr="00427C71">
        <w:trPr>
          <w:gridAfter w:val="1"/>
          <w:wAfter w:w="4" w:type="pct"/>
        </w:trPr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1459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Очень часто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5D65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Астения</w:t>
            </w:r>
          </w:p>
        </w:tc>
      </w:tr>
      <w:tr w:rsidR="00E03BEF" w:rsidRPr="003D04B5" w14:paraId="7FC51A71" w14:textId="77777777" w:rsidTr="00427C71">
        <w:trPr>
          <w:gridAfter w:val="1"/>
          <w:wAfter w:w="4" w:type="pct"/>
        </w:trPr>
        <w:tc>
          <w:tcPr>
            <w:tcW w:w="2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80A9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Часто</w:t>
            </w:r>
          </w:p>
        </w:tc>
        <w:tc>
          <w:tcPr>
            <w:tcW w:w="2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A2D1" w14:textId="77777777" w:rsidR="00E03BEF" w:rsidRPr="003D04B5" w:rsidRDefault="00E03BEF" w:rsidP="00427C71">
            <w:pPr>
              <w:pStyle w:val="Style174"/>
              <w:spacing w:line="360" w:lineRule="auto"/>
              <w:jc w:val="both"/>
              <w:rPr>
                <w:sz w:val="24"/>
                <w:szCs w:val="24"/>
              </w:rPr>
            </w:pPr>
            <w:r w:rsidRPr="003D04B5">
              <w:rPr>
                <w:rStyle w:val="CharStyle9"/>
                <w:sz w:val="24"/>
                <w:szCs w:val="24"/>
              </w:rPr>
              <w:t>Усталость</w:t>
            </w:r>
          </w:p>
        </w:tc>
      </w:tr>
    </w:tbl>
    <w:p w14:paraId="47945E2E" w14:textId="77777777" w:rsidR="00E03BEF" w:rsidRPr="00427C71" w:rsidRDefault="00E03BEF" w:rsidP="00427C71">
      <w:pPr>
        <w:pStyle w:val="Style467"/>
        <w:spacing w:before="120" w:line="276" w:lineRule="auto"/>
        <w:ind w:firstLine="0"/>
        <w:rPr>
          <w:sz w:val="22"/>
          <w:szCs w:val="22"/>
        </w:rPr>
      </w:pPr>
      <w:r w:rsidRPr="00427C71">
        <w:rPr>
          <w:rStyle w:val="CharStyle275"/>
          <w:sz w:val="22"/>
          <w:szCs w:val="22"/>
          <w:vertAlign w:val="superscript"/>
        </w:rPr>
        <w:t>1</w:t>
      </w:r>
      <w:r w:rsidRPr="00427C71">
        <w:rPr>
          <w:rStyle w:val="CharStyle275"/>
          <w:sz w:val="22"/>
          <w:szCs w:val="22"/>
        </w:rPr>
        <w:t xml:space="preserve">Побочная реакция может возникнуть как следствие проксимальной тубулопатии. Не считается, что она причинно связана с </w:t>
      </w:r>
      <w:r w:rsidR="00E50CC5" w:rsidRPr="00427C71">
        <w:rPr>
          <w:rStyle w:val="CharStyle275"/>
          <w:sz w:val="22"/>
          <w:szCs w:val="22"/>
        </w:rPr>
        <w:t xml:space="preserve">тенофовира </w:t>
      </w:r>
      <w:r w:rsidR="00E50CC5" w:rsidRPr="00427C71">
        <w:rPr>
          <w:sz w:val="22"/>
          <w:szCs w:val="22"/>
        </w:rPr>
        <w:t>дизопроксила фумаратом</w:t>
      </w:r>
      <w:r w:rsidR="00E50CC5" w:rsidRPr="00427C71">
        <w:rPr>
          <w:rStyle w:val="CharStyle275"/>
          <w:sz w:val="22"/>
          <w:szCs w:val="22"/>
        </w:rPr>
        <w:t xml:space="preserve"> </w:t>
      </w:r>
      <w:r w:rsidRPr="00427C71">
        <w:rPr>
          <w:rStyle w:val="CharStyle275"/>
          <w:sz w:val="22"/>
          <w:szCs w:val="22"/>
        </w:rPr>
        <w:t>при отсутствии этого заболевания.</w:t>
      </w:r>
    </w:p>
    <w:p w14:paraId="21EDF1BD" w14:textId="77777777" w:rsidR="00E03BEF" w:rsidRPr="00427C71" w:rsidRDefault="00E03BEF" w:rsidP="00427C71">
      <w:pPr>
        <w:pStyle w:val="Style468"/>
        <w:spacing w:line="276" w:lineRule="auto"/>
        <w:rPr>
          <w:sz w:val="22"/>
          <w:szCs w:val="22"/>
        </w:rPr>
      </w:pPr>
      <w:r w:rsidRPr="00427C71">
        <w:rPr>
          <w:rStyle w:val="CharStyle275"/>
          <w:sz w:val="22"/>
          <w:szCs w:val="22"/>
          <w:vertAlign w:val="superscript"/>
        </w:rPr>
        <w:t>2</w:t>
      </w:r>
      <w:r w:rsidRPr="00427C71">
        <w:rPr>
          <w:rStyle w:val="CharStyle275"/>
          <w:sz w:val="22"/>
          <w:szCs w:val="22"/>
        </w:rPr>
        <w:t xml:space="preserve">Побочная реакция была установлена во </w:t>
      </w:r>
      <w:r w:rsidR="00CA1702" w:rsidRPr="00427C71">
        <w:rPr>
          <w:rStyle w:val="CharStyle275"/>
          <w:sz w:val="22"/>
          <w:szCs w:val="22"/>
        </w:rPr>
        <w:t>время пострегистрационного исследования</w:t>
      </w:r>
      <w:r w:rsidRPr="00427C71">
        <w:rPr>
          <w:rStyle w:val="CharStyle275"/>
          <w:sz w:val="22"/>
          <w:szCs w:val="22"/>
        </w:rPr>
        <w:t xml:space="preserve">, но не наблюдалась </w:t>
      </w:r>
      <w:proofErr w:type="gramStart"/>
      <w:r w:rsidRPr="00427C71">
        <w:rPr>
          <w:rStyle w:val="CharStyle275"/>
          <w:sz w:val="22"/>
          <w:szCs w:val="22"/>
        </w:rPr>
        <w:t>во время</w:t>
      </w:r>
      <w:proofErr w:type="gramEnd"/>
      <w:r w:rsidRPr="00427C71">
        <w:rPr>
          <w:rStyle w:val="CharStyle275"/>
          <w:sz w:val="22"/>
          <w:szCs w:val="22"/>
        </w:rPr>
        <w:t xml:space="preserve"> рандомизированных контролируемых </w:t>
      </w:r>
      <w:r w:rsidR="00471C1E" w:rsidRPr="00427C71">
        <w:rPr>
          <w:rStyle w:val="CharStyle275"/>
          <w:sz w:val="22"/>
          <w:szCs w:val="22"/>
        </w:rPr>
        <w:t>КИ</w:t>
      </w:r>
      <w:r w:rsidRPr="00427C71">
        <w:rPr>
          <w:rStyle w:val="CharStyle275"/>
          <w:sz w:val="22"/>
          <w:szCs w:val="22"/>
        </w:rPr>
        <w:t xml:space="preserve"> или программы расширенного доступа к тенофовир</w:t>
      </w:r>
      <w:r w:rsidR="00734214">
        <w:rPr>
          <w:rStyle w:val="CharStyle275"/>
          <w:sz w:val="22"/>
          <w:szCs w:val="22"/>
        </w:rPr>
        <w:t>а</w:t>
      </w:r>
      <w:r w:rsidR="00E50CC5" w:rsidRPr="00427C71">
        <w:rPr>
          <w:rStyle w:val="CharStyle275"/>
          <w:sz w:val="22"/>
          <w:szCs w:val="22"/>
        </w:rPr>
        <w:t xml:space="preserve"> </w:t>
      </w:r>
      <w:r w:rsidR="00E50CC5" w:rsidRPr="00427C71">
        <w:rPr>
          <w:sz w:val="22"/>
          <w:szCs w:val="22"/>
        </w:rPr>
        <w:t>дизопроксила фумарату</w:t>
      </w:r>
      <w:r w:rsidRPr="00427C71">
        <w:rPr>
          <w:rStyle w:val="CharStyle275"/>
          <w:sz w:val="22"/>
          <w:szCs w:val="22"/>
        </w:rPr>
        <w:t>. Категория частоты была установлена по статистическим расчетам на основе общего количества пациентов, принимавших тенофовир</w:t>
      </w:r>
      <w:r w:rsidR="00E50CC5" w:rsidRPr="00427C71">
        <w:rPr>
          <w:rStyle w:val="CharStyle275"/>
          <w:sz w:val="22"/>
          <w:szCs w:val="22"/>
        </w:rPr>
        <w:t xml:space="preserve">а </w:t>
      </w:r>
      <w:r w:rsidR="00E50CC5" w:rsidRPr="00427C71">
        <w:rPr>
          <w:sz w:val="22"/>
          <w:szCs w:val="22"/>
        </w:rPr>
        <w:t>дизопроксила фумарат</w:t>
      </w:r>
      <w:r w:rsidRPr="00427C71">
        <w:rPr>
          <w:rStyle w:val="CharStyle275"/>
          <w:sz w:val="22"/>
          <w:szCs w:val="22"/>
        </w:rPr>
        <w:t xml:space="preserve"> в рамках рандомизированных контролируемых исследований и программы расширенного доступа (</w:t>
      </w:r>
      <w:r w:rsidRPr="00427C71">
        <w:rPr>
          <w:rStyle w:val="CharStyle275"/>
          <w:sz w:val="22"/>
          <w:szCs w:val="22"/>
          <w:lang w:val="en-US" w:eastAsia="en-US"/>
        </w:rPr>
        <w:t>n</w:t>
      </w:r>
      <w:r w:rsidR="00734214">
        <w:rPr>
          <w:rStyle w:val="CharStyle275"/>
          <w:sz w:val="22"/>
          <w:szCs w:val="22"/>
        </w:rPr>
        <w:t> </w:t>
      </w:r>
      <w:r w:rsidRPr="00427C71">
        <w:rPr>
          <w:rStyle w:val="CharStyle275"/>
          <w:sz w:val="22"/>
          <w:szCs w:val="22"/>
        </w:rPr>
        <w:t>=</w:t>
      </w:r>
      <w:r w:rsidR="00734214">
        <w:rPr>
          <w:rStyle w:val="CharStyle275"/>
          <w:sz w:val="22"/>
          <w:szCs w:val="22"/>
        </w:rPr>
        <w:t> </w:t>
      </w:r>
      <w:r w:rsidRPr="00427C71">
        <w:rPr>
          <w:rStyle w:val="CharStyle275"/>
          <w:sz w:val="22"/>
          <w:szCs w:val="22"/>
        </w:rPr>
        <w:t>7319).</w:t>
      </w:r>
    </w:p>
    <w:p w14:paraId="405FB022" w14:textId="77777777" w:rsidR="006D4285" w:rsidRPr="00792DBD" w:rsidRDefault="00E03BEF" w:rsidP="00F30F2B">
      <w:pPr>
        <w:keepNext/>
        <w:spacing w:before="120" w:line="360" w:lineRule="auto"/>
        <w:ind w:right="57"/>
        <w:jc w:val="both"/>
        <w:rPr>
          <w:b/>
          <w:i/>
          <w:iCs/>
        </w:rPr>
      </w:pPr>
      <w:r w:rsidRPr="00792DBD">
        <w:rPr>
          <w:b/>
          <w:i/>
          <w:iCs/>
        </w:rPr>
        <w:lastRenderedPageBreak/>
        <w:t>Описание отдельных побочных реакций</w:t>
      </w:r>
    </w:p>
    <w:p w14:paraId="31F4E557" w14:textId="77777777" w:rsidR="00E03BEF" w:rsidRPr="001100D0" w:rsidRDefault="00E03BEF" w:rsidP="00792DBD">
      <w:pPr>
        <w:spacing w:line="360" w:lineRule="auto"/>
        <w:ind w:right="54"/>
        <w:jc w:val="both"/>
        <w:rPr>
          <w:i/>
          <w:iCs/>
          <w:u w:val="single"/>
        </w:rPr>
      </w:pPr>
      <w:r w:rsidRPr="001100D0">
        <w:rPr>
          <w:i/>
          <w:iCs/>
          <w:u w:val="single"/>
        </w:rPr>
        <w:t>ВИЧ-1 и гепатит</w:t>
      </w:r>
      <w:r w:rsidR="002205BC" w:rsidRPr="001100D0">
        <w:rPr>
          <w:i/>
          <w:iCs/>
          <w:u w:val="single"/>
        </w:rPr>
        <w:t> </w:t>
      </w:r>
      <w:r w:rsidRPr="001100D0">
        <w:rPr>
          <w:i/>
          <w:iCs/>
          <w:u w:val="single"/>
        </w:rPr>
        <w:t>В</w:t>
      </w:r>
      <w:r w:rsidR="00E50CC5" w:rsidRPr="001100D0">
        <w:rPr>
          <w:i/>
          <w:iCs/>
          <w:u w:val="single"/>
        </w:rPr>
        <w:t>:</w:t>
      </w:r>
      <w:r w:rsidRPr="001100D0">
        <w:rPr>
          <w:i/>
          <w:iCs/>
          <w:u w:val="single"/>
        </w:rPr>
        <w:t xml:space="preserve"> </w:t>
      </w:r>
    </w:p>
    <w:p w14:paraId="1B0EFE0B" w14:textId="77777777" w:rsidR="00E03BEF" w:rsidRPr="00792DBD" w:rsidRDefault="00E03BEF" w:rsidP="00792DBD">
      <w:pPr>
        <w:spacing w:line="360" w:lineRule="auto"/>
        <w:ind w:right="5184"/>
        <w:jc w:val="both"/>
      </w:pPr>
      <w:r w:rsidRPr="00792DBD">
        <w:rPr>
          <w:i/>
          <w:iCs/>
        </w:rPr>
        <w:t>Нарушение функции почек</w:t>
      </w:r>
    </w:p>
    <w:p w14:paraId="2934B1C2" w14:textId="77777777" w:rsidR="00E03BEF" w:rsidRPr="00792DBD" w:rsidRDefault="00E03BEF" w:rsidP="00792DBD">
      <w:pPr>
        <w:spacing w:line="360" w:lineRule="auto"/>
        <w:jc w:val="both"/>
      </w:pPr>
      <w:r w:rsidRPr="00792DBD">
        <w:t xml:space="preserve">Поскольку </w:t>
      </w:r>
      <w:r w:rsidR="002840C4" w:rsidRPr="00792DBD">
        <w:t>Тенофовир</w:t>
      </w:r>
      <w:r w:rsidR="00D42A12" w:rsidRPr="00792DBD">
        <w:t> </w:t>
      </w:r>
      <w:r w:rsidR="002840C4" w:rsidRPr="00792DBD">
        <w:t>ВМ</w:t>
      </w:r>
      <w:r w:rsidRPr="00792DBD">
        <w:t xml:space="preserve"> может привести к нарушению работы почек, рекомендуется контролировать их функцию (см. раздел «Особые указания»). </w:t>
      </w:r>
      <w:r w:rsidR="00E50CC5" w:rsidRPr="00792DBD">
        <w:t xml:space="preserve">После отмены тенофовира дизопроксила фумарата проксимальная </w:t>
      </w:r>
      <w:r w:rsidRPr="00792DBD">
        <w:t>тубулопатия</w:t>
      </w:r>
      <w:r w:rsidR="001B3B03" w:rsidRPr="00792DBD">
        <w:t>,</w:t>
      </w:r>
      <w:r w:rsidRPr="00792DBD">
        <w:t xml:space="preserve"> как правило, исчезала или отмечалось улучшение. Тем </w:t>
      </w:r>
      <w:r w:rsidR="00106D00" w:rsidRPr="00792DBD">
        <w:t>не менее, у некоторых пациентов</w:t>
      </w:r>
      <w:r w:rsidRPr="00792DBD">
        <w:t xml:space="preserve"> отмена тенофовира</w:t>
      </w:r>
      <w:r w:rsidR="00E50CC5" w:rsidRPr="00792DBD">
        <w:t xml:space="preserve"> дизопроксила фумарата</w:t>
      </w:r>
      <w:r w:rsidRPr="00792DBD">
        <w:t xml:space="preserve"> не полностью приводила к восстановлению сниженного уровня КК. Пациенты с риском развития почечной недостаточности (например, пациенты с исходным риском почечной недостаточности, сопутствующая ВИЧ инфекция, сопутствующая терапия нефротоксичными препаратами) находятся в группе повышенного риска неполного восстановления функции почек, несмотря на отмену тенофовира</w:t>
      </w:r>
      <w:r w:rsidR="00E50CC5" w:rsidRPr="00792DBD">
        <w:t xml:space="preserve"> дизопроксила фумарата</w:t>
      </w:r>
      <w:r w:rsidRPr="00792DBD">
        <w:t xml:space="preserve"> (см. раздел «Особые указания»).</w:t>
      </w:r>
    </w:p>
    <w:p w14:paraId="65941712" w14:textId="77777777" w:rsidR="00E03BEF" w:rsidRPr="001100D0" w:rsidRDefault="00E03BEF" w:rsidP="00792DBD">
      <w:pPr>
        <w:spacing w:line="360" w:lineRule="auto"/>
        <w:jc w:val="both"/>
        <w:rPr>
          <w:u w:val="single"/>
        </w:rPr>
      </w:pPr>
      <w:r w:rsidRPr="001100D0">
        <w:rPr>
          <w:i/>
          <w:iCs/>
          <w:u w:val="single"/>
        </w:rPr>
        <w:t>ВИЧ-1</w:t>
      </w:r>
      <w:r w:rsidR="00E50CC5" w:rsidRPr="001100D0">
        <w:rPr>
          <w:i/>
          <w:iCs/>
          <w:u w:val="single"/>
        </w:rPr>
        <w:t>:</w:t>
      </w:r>
    </w:p>
    <w:p w14:paraId="7D460532" w14:textId="77777777" w:rsidR="00E03BEF" w:rsidRPr="00792DBD" w:rsidRDefault="00E03BEF" w:rsidP="00792DBD">
      <w:pPr>
        <w:spacing w:line="360" w:lineRule="auto"/>
        <w:jc w:val="both"/>
      </w:pPr>
      <w:r w:rsidRPr="00792DBD">
        <w:rPr>
          <w:i/>
          <w:iCs/>
        </w:rPr>
        <w:t>Взаимодействие с диданозином</w:t>
      </w:r>
    </w:p>
    <w:p w14:paraId="02425271" w14:textId="77777777" w:rsidR="00E03BEF" w:rsidRPr="00792DBD" w:rsidRDefault="00E03BEF" w:rsidP="00792DBD">
      <w:pPr>
        <w:spacing w:line="360" w:lineRule="auto"/>
        <w:jc w:val="both"/>
      </w:pPr>
      <w:r w:rsidRPr="00792DBD">
        <w:t>Одновременное применение тенофовира</w:t>
      </w:r>
      <w:r w:rsidR="00E50CC5" w:rsidRPr="00792DBD">
        <w:t xml:space="preserve"> дизопроксила фумарата</w:t>
      </w:r>
      <w:r w:rsidRPr="00792DBD">
        <w:t xml:space="preserve"> и диданозина не рекомендуется, так как это приводит к повышению системно</w:t>
      </w:r>
      <w:r w:rsidR="00E50CC5" w:rsidRPr="00792DBD">
        <w:t>й</w:t>
      </w:r>
      <w:r w:rsidRPr="00792DBD">
        <w:t xml:space="preserve"> </w:t>
      </w:r>
      <w:r w:rsidR="00E50CC5" w:rsidRPr="00792DBD">
        <w:t xml:space="preserve">экспозиции </w:t>
      </w:r>
      <w:r w:rsidRPr="00792DBD">
        <w:t>диданозина на 40-</w:t>
      </w:r>
      <w:r w:rsidR="00537828" w:rsidRPr="00792DBD">
        <w:t>60 </w:t>
      </w:r>
      <w:r w:rsidRPr="00792DBD">
        <w:t>%, что может увеличить риск возникновения побочных реакций, связанных с диданозином (см. раздел «Взаимодействие с другими лекарственными средствами»). Редко сообщалось о случаях панкреатита и лактоацидоза, иногда с летальным исходом.</w:t>
      </w:r>
    </w:p>
    <w:p w14:paraId="45617585" w14:textId="77777777" w:rsidR="00E03BEF" w:rsidRPr="00792DBD" w:rsidRDefault="00580300" w:rsidP="00792DBD">
      <w:pPr>
        <w:spacing w:line="360" w:lineRule="auto"/>
        <w:jc w:val="both"/>
      </w:pPr>
      <w:r w:rsidRPr="00792DBD">
        <w:rPr>
          <w:i/>
          <w:iCs/>
        </w:rPr>
        <w:t>Параметры метаболизма</w:t>
      </w:r>
    </w:p>
    <w:p w14:paraId="46E63933" w14:textId="77777777" w:rsidR="00E03BEF" w:rsidRPr="00792DBD" w:rsidRDefault="00580300" w:rsidP="00792DBD">
      <w:pPr>
        <w:spacing w:line="360" w:lineRule="auto"/>
        <w:jc w:val="both"/>
      </w:pPr>
      <w:r w:rsidRPr="00792DBD">
        <w:t>При анти</w:t>
      </w:r>
      <w:r w:rsidR="00106D00" w:rsidRPr="00792DBD">
        <w:t>ре</w:t>
      </w:r>
      <w:r w:rsidRPr="00792DBD">
        <w:t>т</w:t>
      </w:r>
      <w:r w:rsidR="00106D00" w:rsidRPr="00792DBD">
        <w:t>р</w:t>
      </w:r>
      <w:r w:rsidRPr="00792DBD">
        <w:t>овирусной терапии может увеличиться масса тела и могут повыситься уровни липидов и глюкозы в крови (см. раздел «Особые указания»).</w:t>
      </w:r>
    </w:p>
    <w:p w14:paraId="092D27C2" w14:textId="77777777" w:rsidR="00E03BEF" w:rsidRPr="00792DBD" w:rsidRDefault="00E03BEF" w:rsidP="00792DBD">
      <w:pPr>
        <w:spacing w:line="360" w:lineRule="auto"/>
        <w:jc w:val="both"/>
      </w:pPr>
      <w:r w:rsidRPr="00792DBD">
        <w:rPr>
          <w:i/>
          <w:iCs/>
        </w:rPr>
        <w:t>Синдром восстановления иммунитета</w:t>
      </w:r>
    </w:p>
    <w:p w14:paraId="245AE2DE" w14:textId="77777777" w:rsidR="00E03BEF" w:rsidRPr="00792DBD" w:rsidRDefault="00E03BEF" w:rsidP="00792DBD">
      <w:pPr>
        <w:spacing w:line="360" w:lineRule="auto"/>
        <w:jc w:val="both"/>
      </w:pPr>
      <w:r w:rsidRPr="00792DBD">
        <w:t>У ВИЧ-инфицированных пациентов с тяжелой формой иммунодефицита на момент начала комбинированной антиретровирусной терапии может возникнуть воспалительная реакция на асимптоматические или остаточные оппортунистические инфекции. Также сообщалось об аутоиммунных нарушениях (таких как болезнь Грейвса</w:t>
      </w:r>
      <w:r w:rsidR="009E5C16" w:rsidRPr="00792DBD">
        <w:t xml:space="preserve"> и аутоиммунный гепатит</w:t>
      </w:r>
      <w:r w:rsidR="004C7FC4" w:rsidRPr="00792DBD">
        <w:t xml:space="preserve">), </w:t>
      </w:r>
      <w:r w:rsidRPr="00792DBD">
        <w:t>однако данные о времени начала таких явлений сильно разнятся, и эти случаи могли иметь место спустя несколько месяцев после начала лечения.</w:t>
      </w:r>
    </w:p>
    <w:p w14:paraId="4DBE2AA0" w14:textId="77777777" w:rsidR="00E03BEF" w:rsidRPr="00792DBD" w:rsidRDefault="00E03BEF" w:rsidP="00792DBD">
      <w:pPr>
        <w:spacing w:line="360" w:lineRule="auto"/>
        <w:jc w:val="both"/>
      </w:pPr>
      <w:r w:rsidRPr="00792DBD">
        <w:rPr>
          <w:i/>
          <w:iCs/>
        </w:rPr>
        <w:t>Остеонекроз</w:t>
      </w:r>
    </w:p>
    <w:p w14:paraId="13761D03" w14:textId="77777777" w:rsidR="00B916CB" w:rsidRPr="00792DBD" w:rsidRDefault="00E03BEF" w:rsidP="00792DBD">
      <w:pPr>
        <w:spacing w:line="360" w:lineRule="auto"/>
        <w:jc w:val="both"/>
      </w:pPr>
      <w:r w:rsidRPr="00792DBD">
        <w:t>Сообщалось о случаях остеонекроза, в частности у пациентов с общеизвестными факторами риска, поздней стадией ВИЧ-инфекции или длительным приемом комбинированной антиретровирусной терапии. Частота возникновения указанного явления неизвестна (см. раздел «Особые указания»).</w:t>
      </w:r>
    </w:p>
    <w:p w14:paraId="3543AA3F" w14:textId="77777777" w:rsidR="00E03BEF" w:rsidRPr="001100D0" w:rsidRDefault="00E03BEF" w:rsidP="00792DBD">
      <w:pPr>
        <w:spacing w:line="360" w:lineRule="auto"/>
        <w:jc w:val="both"/>
        <w:rPr>
          <w:u w:val="single"/>
        </w:rPr>
      </w:pPr>
      <w:r w:rsidRPr="001100D0">
        <w:rPr>
          <w:i/>
          <w:iCs/>
          <w:u w:val="single"/>
        </w:rPr>
        <w:lastRenderedPageBreak/>
        <w:t>Гепатит</w:t>
      </w:r>
      <w:r w:rsidR="002205BC" w:rsidRPr="001100D0">
        <w:rPr>
          <w:i/>
          <w:iCs/>
          <w:u w:val="single"/>
        </w:rPr>
        <w:t> </w:t>
      </w:r>
      <w:r w:rsidRPr="001100D0">
        <w:rPr>
          <w:i/>
          <w:iCs/>
          <w:u w:val="single"/>
        </w:rPr>
        <w:t>В</w:t>
      </w:r>
      <w:r w:rsidR="00CB67A2" w:rsidRPr="001100D0">
        <w:rPr>
          <w:i/>
          <w:iCs/>
          <w:u w:val="single"/>
        </w:rPr>
        <w:t>:</w:t>
      </w:r>
    </w:p>
    <w:p w14:paraId="7FE70887" w14:textId="77777777" w:rsidR="00E03BEF" w:rsidRPr="00792DBD" w:rsidRDefault="00E03BEF" w:rsidP="00792DBD">
      <w:pPr>
        <w:spacing w:line="360" w:lineRule="auto"/>
        <w:jc w:val="both"/>
      </w:pPr>
      <w:r w:rsidRPr="00792DBD">
        <w:rPr>
          <w:i/>
          <w:iCs/>
        </w:rPr>
        <w:t>Обострение гепатита во время лечения</w:t>
      </w:r>
    </w:p>
    <w:p w14:paraId="5D3F147C" w14:textId="77777777" w:rsidR="00E03BEF" w:rsidRPr="00792DBD" w:rsidRDefault="00E03BEF" w:rsidP="00792DBD">
      <w:pPr>
        <w:spacing w:line="360" w:lineRule="auto"/>
        <w:jc w:val="both"/>
      </w:pPr>
      <w:r w:rsidRPr="00792DBD">
        <w:t xml:space="preserve">В рамках исследований среди пациентов, которые ранее не принимали нуклеозидные аналоги, повышение </w:t>
      </w:r>
      <w:r w:rsidR="00CB67A2" w:rsidRPr="00792DBD">
        <w:t xml:space="preserve">активности </w:t>
      </w:r>
      <w:r w:rsidRPr="00792DBD">
        <w:t>АЛТ во время лечения с превышением верхнего предела нормы более чем в 10</w:t>
      </w:r>
      <w:r w:rsidR="00792DBD" w:rsidRPr="00792DBD">
        <w:t> </w:t>
      </w:r>
      <w:r w:rsidRPr="00792DBD">
        <w:t>раз, и превышением начального уровня более чем в 2</w:t>
      </w:r>
      <w:r w:rsidR="00792DBD" w:rsidRPr="00792DBD">
        <w:t> </w:t>
      </w:r>
      <w:r w:rsidRPr="00792DBD">
        <w:t>раза, наблюдалось у 2,</w:t>
      </w:r>
      <w:r w:rsidR="00BB7373" w:rsidRPr="00792DBD">
        <w:t>6 </w:t>
      </w:r>
      <w:r w:rsidRPr="00792DBD">
        <w:t xml:space="preserve">% пациентов, получавших лечение </w:t>
      </w:r>
      <w:r w:rsidR="00CB67A2" w:rsidRPr="00792DBD">
        <w:t>тенофовира дизопроксила фумаратом</w:t>
      </w:r>
      <w:r w:rsidRPr="00792DBD">
        <w:t xml:space="preserve">. Подъем </w:t>
      </w:r>
      <w:r w:rsidR="00CB67A2" w:rsidRPr="00792DBD">
        <w:t xml:space="preserve">активности </w:t>
      </w:r>
      <w:r w:rsidRPr="00792DBD">
        <w:t xml:space="preserve">АЛТ, </w:t>
      </w:r>
      <w:r w:rsidR="00CB67A2" w:rsidRPr="00792DBD">
        <w:t xml:space="preserve">медиана времени </w:t>
      </w:r>
      <w:r w:rsidRPr="00792DBD">
        <w:t xml:space="preserve">до появления которого </w:t>
      </w:r>
      <w:r w:rsidR="00CB67A2" w:rsidRPr="00792DBD">
        <w:t xml:space="preserve">составляла </w:t>
      </w:r>
      <w:r w:rsidRPr="00792DBD">
        <w:t>8</w:t>
      </w:r>
      <w:r w:rsidR="00792DBD" w:rsidRPr="00792DBD">
        <w:t> </w:t>
      </w:r>
      <w:r w:rsidRPr="00792DBD">
        <w:t xml:space="preserve">недель, в дальнейшем исчезал на фоне продолжающегося лечения. В большинстве случаев </w:t>
      </w:r>
      <w:r w:rsidR="00CB67A2" w:rsidRPr="00792DBD">
        <w:t xml:space="preserve">такое повышение активности </w:t>
      </w:r>
      <w:r w:rsidRPr="00792DBD">
        <w:t xml:space="preserve">АЛТ </w:t>
      </w:r>
      <w:r w:rsidR="00CB67A2" w:rsidRPr="00792DBD">
        <w:t xml:space="preserve">было связано </w:t>
      </w:r>
      <w:r w:rsidRPr="00792DBD">
        <w:t>с уменьшением вирусной нагрузки</w:t>
      </w:r>
      <w:r w:rsidR="00CB67A2" w:rsidRPr="00792DBD">
        <w:t xml:space="preserve"> на</w:t>
      </w:r>
      <w:r w:rsidR="00792DBD" w:rsidRPr="00792DBD">
        <w:t xml:space="preserve"> ≥</w:t>
      </w:r>
      <w:r w:rsidRPr="00792DBD">
        <w:t>2</w:t>
      </w:r>
      <w:r w:rsidRPr="00792DBD">
        <w:rPr>
          <w:lang w:val="en-US" w:eastAsia="en-US"/>
        </w:rPr>
        <w:t>log</w:t>
      </w:r>
      <w:r w:rsidRPr="00792DBD">
        <w:rPr>
          <w:vertAlign w:val="subscript"/>
          <w:lang w:eastAsia="en-US"/>
        </w:rPr>
        <w:t>10</w:t>
      </w:r>
      <w:r w:rsidR="00792DBD" w:rsidRPr="00792DBD">
        <w:rPr>
          <w:lang w:eastAsia="en-US"/>
        </w:rPr>
        <w:t> </w:t>
      </w:r>
      <w:r w:rsidRPr="00792DBD">
        <w:t>копий/мл, которое предшествовало или совпадало с повышением</w:t>
      </w:r>
      <w:r w:rsidR="00CB67A2" w:rsidRPr="00792DBD">
        <w:t xml:space="preserve"> активности</w:t>
      </w:r>
      <w:r w:rsidRPr="00792DBD">
        <w:t xml:space="preserve"> АЛТ. Во время лечения рекомендуется периодически контролировать функцию печени</w:t>
      </w:r>
      <w:r w:rsidR="00CB67A2" w:rsidRPr="00792DBD">
        <w:t xml:space="preserve"> (см. раздел «Особые указания»)</w:t>
      </w:r>
      <w:r w:rsidRPr="00792DBD">
        <w:t>.</w:t>
      </w:r>
    </w:p>
    <w:p w14:paraId="5801B32F" w14:textId="77777777" w:rsidR="00E03BEF" w:rsidRPr="00792DBD" w:rsidRDefault="00E03BEF" w:rsidP="00792DBD">
      <w:pPr>
        <w:spacing w:line="360" w:lineRule="auto"/>
        <w:jc w:val="both"/>
      </w:pPr>
      <w:r w:rsidRPr="00792DBD">
        <w:rPr>
          <w:i/>
          <w:iCs/>
        </w:rPr>
        <w:t>Обострение гепатита после отмены лечения</w:t>
      </w:r>
    </w:p>
    <w:p w14:paraId="5443FF9E" w14:textId="77777777" w:rsidR="00E03BEF" w:rsidRPr="00792DBD" w:rsidRDefault="00E03BEF" w:rsidP="00792DBD">
      <w:pPr>
        <w:spacing w:line="360" w:lineRule="auto"/>
        <w:jc w:val="both"/>
      </w:pPr>
      <w:r w:rsidRPr="00792DBD">
        <w:t>У пациентов, инфицированных ВГВ, после прекращения приема препаратов, активных в отношении ВГВ, возникали клинические и лабораторные признаки обострения гепатита</w:t>
      </w:r>
      <w:r w:rsidR="00CB67A2" w:rsidRPr="00792DBD">
        <w:t xml:space="preserve"> (см. раздел «Особые указания»)</w:t>
      </w:r>
      <w:r w:rsidRPr="00792DBD">
        <w:t>.</w:t>
      </w:r>
    </w:p>
    <w:p w14:paraId="4FB23FAB" w14:textId="77777777" w:rsidR="00CB67A2" w:rsidRPr="00613C0A" w:rsidRDefault="00B923DE" w:rsidP="00792DBD">
      <w:pPr>
        <w:spacing w:line="360" w:lineRule="auto"/>
        <w:jc w:val="both"/>
        <w:rPr>
          <w:i/>
          <w:u w:val="single"/>
        </w:rPr>
      </w:pPr>
      <w:r w:rsidRPr="00613C0A">
        <w:rPr>
          <w:i/>
          <w:u w:val="single"/>
        </w:rPr>
        <w:t>Дети</w:t>
      </w:r>
    </w:p>
    <w:p w14:paraId="044152D9" w14:textId="77777777" w:rsidR="00CB67A2" w:rsidRPr="00792DBD" w:rsidRDefault="00B923DE" w:rsidP="00792DBD">
      <w:pPr>
        <w:spacing w:line="360" w:lineRule="auto"/>
        <w:jc w:val="both"/>
      </w:pPr>
      <w:r w:rsidRPr="00792DBD">
        <w:rPr>
          <w:i/>
        </w:rPr>
        <w:t>ВИЧ-1</w:t>
      </w:r>
      <w:r w:rsidR="00792DBD" w:rsidRPr="00792DBD">
        <w:rPr>
          <w:i/>
        </w:rPr>
        <w:t xml:space="preserve">: </w:t>
      </w:r>
      <w:r w:rsidR="00CB67A2" w:rsidRPr="00792DBD">
        <w:t xml:space="preserve">Оценка побочных реакций основана на </w:t>
      </w:r>
      <w:r w:rsidR="00792DBD" w:rsidRPr="00792DBD">
        <w:t>2-х</w:t>
      </w:r>
      <w:r w:rsidR="00CB67A2" w:rsidRPr="00792DBD">
        <w:t xml:space="preserve"> рандомизированных исследованиях, в которые было включено 184</w:t>
      </w:r>
      <w:r w:rsidR="00792DBD" w:rsidRPr="00792DBD">
        <w:t> </w:t>
      </w:r>
      <w:r w:rsidR="00CB67A2" w:rsidRPr="00792DBD">
        <w:t>ребенка, инфицированных ВИЧ-1 (возраст от 2 до 18</w:t>
      </w:r>
      <w:r w:rsidR="00792DBD" w:rsidRPr="00792DBD">
        <w:t> </w:t>
      </w:r>
      <w:r w:rsidR="00CB67A2" w:rsidRPr="00792DBD">
        <w:t>лет) и получавших тенофовира дизопроксила фумарат (</w:t>
      </w:r>
      <w:r w:rsidR="00CB67A2" w:rsidRPr="00792DBD">
        <w:rPr>
          <w:lang w:val="en-US"/>
        </w:rPr>
        <w:t>n</w:t>
      </w:r>
      <w:r w:rsidR="00792DBD" w:rsidRPr="00792DBD">
        <w:t> </w:t>
      </w:r>
      <w:r w:rsidRPr="00792DBD">
        <w:t>=</w:t>
      </w:r>
      <w:r w:rsidR="00792DBD" w:rsidRPr="00792DBD">
        <w:t> </w:t>
      </w:r>
      <w:r w:rsidRPr="00792DBD">
        <w:t>93</w:t>
      </w:r>
      <w:r w:rsidR="00CB67A2" w:rsidRPr="00792DBD">
        <w:t>) или плацебо/активный препарат сравнения (</w:t>
      </w:r>
      <w:r w:rsidR="00CB67A2" w:rsidRPr="00792DBD">
        <w:rPr>
          <w:lang w:val="en-US"/>
        </w:rPr>
        <w:t>n</w:t>
      </w:r>
      <w:r w:rsidR="00792DBD" w:rsidRPr="00792DBD">
        <w:t> </w:t>
      </w:r>
      <w:r w:rsidRPr="00792DBD">
        <w:t>=</w:t>
      </w:r>
      <w:r w:rsidR="00792DBD" w:rsidRPr="00792DBD">
        <w:t> </w:t>
      </w:r>
      <w:r w:rsidRPr="00792DBD">
        <w:t>91</w:t>
      </w:r>
      <w:r w:rsidR="00CB67A2" w:rsidRPr="00792DBD">
        <w:t>) в сочетании с другими антиретров</w:t>
      </w:r>
      <w:r w:rsidR="002D1F49" w:rsidRPr="00792DBD">
        <w:t>и</w:t>
      </w:r>
      <w:r w:rsidR="00CB67A2" w:rsidRPr="00792DBD">
        <w:t>русными препаратами в течение 48</w:t>
      </w:r>
      <w:r w:rsidR="00792DBD" w:rsidRPr="00792DBD">
        <w:t> </w:t>
      </w:r>
      <w:r w:rsidR="00CB67A2" w:rsidRPr="00792DBD">
        <w:t xml:space="preserve">недель. Побочные реакции, которые наблюдались у детей, получавших терапию тенофовира дизопроксила фумаратом, соответствовали тем, что наблюдались в </w:t>
      </w:r>
      <w:r w:rsidR="002840C4" w:rsidRPr="00792DBD">
        <w:t>КИ</w:t>
      </w:r>
      <w:r w:rsidR="00CB67A2" w:rsidRPr="00792DBD">
        <w:t xml:space="preserve"> тенофовира дизопроксила фумарата у взрослых (см. разделы «Фармакодинамика» и «Побочное действие»).</w:t>
      </w:r>
    </w:p>
    <w:p w14:paraId="59140C7F" w14:textId="77777777" w:rsidR="00CB67A2" w:rsidRPr="00762765" w:rsidRDefault="00CB67A2" w:rsidP="00762765">
      <w:pPr>
        <w:spacing w:line="360" w:lineRule="auto"/>
        <w:jc w:val="both"/>
      </w:pPr>
      <w:r w:rsidRPr="00762765">
        <w:t xml:space="preserve">У детей наблюдались случаи снижения минеральной плотности костей (МПК). </w:t>
      </w:r>
      <w:r w:rsidR="00792DBD" w:rsidRPr="00762765">
        <w:br/>
      </w:r>
      <w:r w:rsidRPr="00762765">
        <w:t xml:space="preserve">У ВИЧ-1-инфицированных подростков значения </w:t>
      </w:r>
      <w:r w:rsidRPr="00762765">
        <w:rPr>
          <w:lang w:val="en-US"/>
        </w:rPr>
        <w:t>Z</w:t>
      </w:r>
      <w:r w:rsidRPr="00762765">
        <w:t>-критерия МПК были ниже на фоне лечения</w:t>
      </w:r>
      <w:r w:rsidR="008F68D4" w:rsidRPr="00762765">
        <w:t xml:space="preserve"> тенофовира дизопроксила фумаратом по сравнению с группой, получавшей плацебо. У ВИЧ-1-инфицированных детей значение </w:t>
      </w:r>
      <w:r w:rsidR="008F68D4" w:rsidRPr="00762765">
        <w:rPr>
          <w:lang w:val="en-US"/>
        </w:rPr>
        <w:t>Z</w:t>
      </w:r>
      <w:r w:rsidR="00B923DE" w:rsidRPr="00762765">
        <w:t>-</w:t>
      </w:r>
      <w:r w:rsidR="008F68D4" w:rsidRPr="00762765">
        <w:t>критерия МПК были ниже в группе, переведенной на прием тенофовира дизопроксила фумарата, по сравнению с группой, продолжавшей лечение по схеме со ставудином или зидовудином (см. разделы «Фармакодинамика» и «Особые указания»).</w:t>
      </w:r>
    </w:p>
    <w:p w14:paraId="713050C8" w14:textId="77777777" w:rsidR="008F68D4" w:rsidRPr="00762765" w:rsidRDefault="008F68D4" w:rsidP="00762765">
      <w:pPr>
        <w:spacing w:line="360" w:lineRule="auto"/>
        <w:jc w:val="both"/>
      </w:pPr>
      <w:r w:rsidRPr="00762765">
        <w:t>В одном исследовании 8 из 89</w:t>
      </w:r>
      <w:r w:rsidR="00792DBD" w:rsidRPr="00762765">
        <w:t> </w:t>
      </w:r>
      <w:r w:rsidRPr="00762765">
        <w:t>детей (9,0</w:t>
      </w:r>
      <w:r w:rsidR="00792DBD" w:rsidRPr="00762765">
        <w:t> </w:t>
      </w:r>
      <w:r w:rsidRPr="00762765">
        <w:t>%), получавших тенофовира дизопроксила фумарат (медиана воздействия тенофовира дизопроксила фумарата – 331</w:t>
      </w:r>
      <w:r w:rsidR="00792DBD" w:rsidRPr="00762765">
        <w:t> </w:t>
      </w:r>
      <w:r w:rsidRPr="00762765">
        <w:t>неделя), прекратили прием препарата из-за нежелательных реакций со стороны почек.</w:t>
      </w:r>
      <w:r w:rsidR="00113D9A" w:rsidRPr="00762765">
        <w:t xml:space="preserve"> У </w:t>
      </w:r>
      <w:r w:rsidR="00792DBD" w:rsidRPr="00762765">
        <w:lastRenderedPageBreak/>
        <w:t>5 </w:t>
      </w:r>
      <w:r w:rsidR="00113D9A" w:rsidRPr="00762765">
        <w:t>пациентов (5,6</w:t>
      </w:r>
      <w:r w:rsidR="00792DBD" w:rsidRPr="00762765">
        <w:t> </w:t>
      </w:r>
      <w:r w:rsidR="00113D9A" w:rsidRPr="00762765">
        <w:t xml:space="preserve">%) результаты лабораторных исследований клинически соответствовали проксимальной тубулопатии, 4 из них прекратили прием тенофовира дизопроксила фумарат. У </w:t>
      </w:r>
      <w:r w:rsidR="00792DBD" w:rsidRPr="00762765">
        <w:t>7 </w:t>
      </w:r>
      <w:r w:rsidR="00113D9A" w:rsidRPr="00762765">
        <w:t>пациентов расчетная скорость клубочковой фильтрации (СКФ) составляла от 70 до 90</w:t>
      </w:r>
      <w:r w:rsidR="00792DBD" w:rsidRPr="00762765">
        <w:t> </w:t>
      </w:r>
      <w:r w:rsidR="00113D9A" w:rsidRPr="00762765">
        <w:t>мл/мин на 1,73</w:t>
      </w:r>
      <w:r w:rsidR="00792DBD" w:rsidRPr="00762765">
        <w:t> </w:t>
      </w:r>
      <w:r w:rsidR="00113D9A" w:rsidRPr="00762765">
        <w:t>м</w:t>
      </w:r>
      <w:r w:rsidR="00B923DE" w:rsidRPr="00762765">
        <w:rPr>
          <w:vertAlign w:val="superscript"/>
        </w:rPr>
        <w:t>2</w:t>
      </w:r>
      <w:r w:rsidR="00113D9A" w:rsidRPr="00762765">
        <w:t>. У 3 из них произошло клинически значимое снижение расчетной СКФ, которая вновь повысилась после отмены тенофовира дизопроксила фумарата.</w:t>
      </w:r>
    </w:p>
    <w:p w14:paraId="6597F108" w14:textId="77777777" w:rsidR="00E03BEF" w:rsidRPr="00762765" w:rsidRDefault="00E03BEF" w:rsidP="00762765">
      <w:pPr>
        <w:spacing w:line="360" w:lineRule="auto"/>
        <w:jc w:val="both"/>
      </w:pPr>
      <w:r w:rsidRPr="00762765">
        <w:rPr>
          <w:i/>
          <w:iCs/>
        </w:rPr>
        <w:t>Хронический гепатит</w:t>
      </w:r>
      <w:r w:rsidR="002205BC" w:rsidRPr="00762765">
        <w:rPr>
          <w:i/>
          <w:iCs/>
        </w:rPr>
        <w:t> </w:t>
      </w:r>
      <w:r w:rsidRPr="00762765">
        <w:rPr>
          <w:i/>
          <w:iCs/>
        </w:rPr>
        <w:t>В</w:t>
      </w:r>
      <w:r w:rsidR="00792DBD" w:rsidRPr="00762765">
        <w:rPr>
          <w:i/>
          <w:iCs/>
        </w:rPr>
        <w:t xml:space="preserve">: </w:t>
      </w:r>
      <w:r w:rsidRPr="00762765">
        <w:t xml:space="preserve">Оценка побочных реакций основывается на одном рандомизированном </w:t>
      </w:r>
      <w:r w:rsidR="00471C1E" w:rsidRPr="00762765">
        <w:t>КИ</w:t>
      </w:r>
      <w:r w:rsidRPr="00762765">
        <w:t xml:space="preserve"> с участием 106</w:t>
      </w:r>
      <w:r w:rsidR="00762765" w:rsidRPr="00762765">
        <w:t> </w:t>
      </w:r>
      <w:r w:rsidRPr="00762765">
        <w:t>детей (возраст от 12 до 18</w:t>
      </w:r>
      <w:r w:rsidR="00762765" w:rsidRPr="00762765">
        <w:t> </w:t>
      </w:r>
      <w:r w:rsidRPr="00762765">
        <w:t>лет) с хроническим гепатитом</w:t>
      </w:r>
      <w:r w:rsidR="002205BC" w:rsidRPr="00762765">
        <w:t> </w:t>
      </w:r>
      <w:r w:rsidRPr="00762765">
        <w:t xml:space="preserve">В, которым проводили терапию </w:t>
      </w:r>
      <w:r w:rsidR="00BB7373" w:rsidRPr="00762765">
        <w:t>300 </w:t>
      </w:r>
      <w:r w:rsidRPr="00762765">
        <w:t>мг тенофовира дизопроксила фумарат</w:t>
      </w:r>
      <w:r w:rsidR="00BB7373" w:rsidRPr="00762765">
        <w:t>а</w:t>
      </w:r>
      <w:r w:rsidRPr="00762765">
        <w:t xml:space="preserve"> (</w:t>
      </w:r>
      <w:r w:rsidRPr="00762765">
        <w:rPr>
          <w:lang w:val="en-US" w:eastAsia="en-US"/>
        </w:rPr>
        <w:t>n</w:t>
      </w:r>
      <w:r w:rsidR="00762765" w:rsidRPr="00762765">
        <w:t> </w:t>
      </w:r>
      <w:r w:rsidRPr="00762765">
        <w:t>=</w:t>
      </w:r>
      <w:r w:rsidR="00762765" w:rsidRPr="00762765">
        <w:t> </w:t>
      </w:r>
      <w:r w:rsidRPr="00762765">
        <w:t>52) или плацебо (</w:t>
      </w:r>
      <w:r w:rsidRPr="00762765">
        <w:rPr>
          <w:lang w:val="en-US" w:eastAsia="en-US"/>
        </w:rPr>
        <w:t>n</w:t>
      </w:r>
      <w:r w:rsidR="00762765" w:rsidRPr="00762765">
        <w:t> </w:t>
      </w:r>
      <w:r w:rsidRPr="00762765">
        <w:t>=</w:t>
      </w:r>
      <w:r w:rsidR="00762765" w:rsidRPr="00762765">
        <w:t> </w:t>
      </w:r>
      <w:r w:rsidRPr="00762765">
        <w:t>54) в течение 72</w:t>
      </w:r>
      <w:r w:rsidR="00762765" w:rsidRPr="00762765">
        <w:t> </w:t>
      </w:r>
      <w:r w:rsidRPr="00762765">
        <w:t>недель. Побочные реакции, которые наблюдались у детей, получавших тенофовир</w:t>
      </w:r>
      <w:r w:rsidR="00EE4728" w:rsidRPr="00762765">
        <w:t>а дизопроксила фумарат</w:t>
      </w:r>
      <w:r w:rsidRPr="00762765">
        <w:t xml:space="preserve">, соответствовали тем, что наблюдались в </w:t>
      </w:r>
      <w:r w:rsidR="002840C4" w:rsidRPr="00762765">
        <w:t>КИ</w:t>
      </w:r>
      <w:r w:rsidRPr="00762765">
        <w:t xml:space="preserve"> тенофовира</w:t>
      </w:r>
      <w:r w:rsidR="00EE4728" w:rsidRPr="00762765">
        <w:t xml:space="preserve"> дизопроксила фумарата</w:t>
      </w:r>
      <w:r w:rsidRPr="00762765">
        <w:t xml:space="preserve"> у взрослых</w:t>
      </w:r>
      <w:r w:rsidR="00EE4728" w:rsidRPr="00762765">
        <w:t xml:space="preserve"> (см. раздел «Побочное действие»)</w:t>
      </w:r>
      <w:r w:rsidRPr="00762765">
        <w:t>.</w:t>
      </w:r>
    </w:p>
    <w:p w14:paraId="11069ACC" w14:textId="77777777" w:rsidR="00E03BEF" w:rsidRPr="00762765" w:rsidRDefault="00E03BEF" w:rsidP="00762765">
      <w:pPr>
        <w:spacing w:line="360" w:lineRule="auto"/>
        <w:jc w:val="both"/>
      </w:pPr>
      <w:r w:rsidRPr="00762765">
        <w:t>Уменьшение МПК наблюдалось у детей, инфицированных вирусом гепатита</w:t>
      </w:r>
      <w:r w:rsidR="002205BC" w:rsidRPr="00762765">
        <w:t> </w:t>
      </w:r>
      <w:r w:rsidRPr="00762765">
        <w:t xml:space="preserve">В. </w:t>
      </w:r>
      <w:r w:rsidR="00762765" w:rsidRPr="00762765">
        <w:br/>
      </w:r>
      <w:r w:rsidRPr="00762765">
        <w:rPr>
          <w:lang w:val="en-US" w:eastAsia="en-US"/>
        </w:rPr>
        <w:t>Z</w:t>
      </w:r>
      <w:r w:rsidRPr="00762765">
        <w:t>-критерий МПК, наблюдаемый у пациентов, которые получали тенофовир, был ниже, чем таковой у пациентов, которые получали плацебо</w:t>
      </w:r>
      <w:r w:rsidR="00EE4728" w:rsidRPr="00762765">
        <w:t xml:space="preserve"> (см. раздел «Особые указания»)</w:t>
      </w:r>
      <w:r w:rsidRPr="00762765">
        <w:t>.</w:t>
      </w:r>
    </w:p>
    <w:p w14:paraId="456D443F" w14:textId="77777777" w:rsidR="00E03BEF" w:rsidRPr="00613C0A" w:rsidRDefault="00E03BEF" w:rsidP="00762765">
      <w:pPr>
        <w:spacing w:line="360" w:lineRule="auto"/>
        <w:ind w:right="98"/>
        <w:jc w:val="both"/>
        <w:rPr>
          <w:i/>
          <w:iCs/>
          <w:u w:val="single"/>
        </w:rPr>
      </w:pPr>
      <w:r w:rsidRPr="00613C0A">
        <w:rPr>
          <w:i/>
          <w:iCs/>
          <w:u w:val="single"/>
        </w:rPr>
        <w:t>Другие особые группы пациентов</w:t>
      </w:r>
    </w:p>
    <w:p w14:paraId="0BE01150" w14:textId="77777777" w:rsidR="00E03BEF" w:rsidRPr="00616E39" w:rsidRDefault="00E03BEF" w:rsidP="00762765">
      <w:pPr>
        <w:spacing w:line="360" w:lineRule="auto"/>
        <w:ind w:right="98"/>
        <w:jc w:val="both"/>
      </w:pPr>
      <w:r w:rsidRPr="00616E39">
        <w:rPr>
          <w:i/>
          <w:iCs/>
        </w:rPr>
        <w:t>Пациенты пожилого возраста</w:t>
      </w:r>
    </w:p>
    <w:p w14:paraId="2E04D72C" w14:textId="77777777" w:rsidR="00E03BEF" w:rsidRPr="00616E39" w:rsidRDefault="00E03BEF" w:rsidP="00762765">
      <w:pPr>
        <w:spacing w:line="360" w:lineRule="auto"/>
        <w:jc w:val="both"/>
      </w:pPr>
      <w:r w:rsidRPr="00616E39">
        <w:t xml:space="preserve">Исследование </w:t>
      </w:r>
      <w:r w:rsidR="00EE4728" w:rsidRPr="00616E39">
        <w:t xml:space="preserve">применения </w:t>
      </w:r>
      <w:r w:rsidRPr="00616E39">
        <w:t>тенофовира</w:t>
      </w:r>
      <w:r w:rsidR="00EE4728" w:rsidRPr="00616E39">
        <w:t xml:space="preserve"> дизопроксила фумарата</w:t>
      </w:r>
      <w:r w:rsidRPr="00616E39">
        <w:t xml:space="preserve"> среди пациентов в возрасте старше 65</w:t>
      </w:r>
      <w:r w:rsidR="00616E39" w:rsidRPr="00616E39">
        <w:t> </w:t>
      </w:r>
      <w:r w:rsidRPr="00616E39">
        <w:t xml:space="preserve">лет не проводилось. Пациенты пожилого возраста в большей степени склонны иметь пониженную почечную функцию, поэтому во время лечения </w:t>
      </w:r>
      <w:r w:rsidR="00F90660" w:rsidRPr="00616E39">
        <w:t xml:space="preserve">тенофовира дизопроксила фумаратом </w:t>
      </w:r>
      <w:r w:rsidRPr="00616E39">
        <w:t>этой популяции необходимо соблюдать особую осторожность</w:t>
      </w:r>
      <w:r w:rsidR="00F90660" w:rsidRPr="00616E39">
        <w:t xml:space="preserve"> (см. раздел «Особые указания»)</w:t>
      </w:r>
      <w:r w:rsidRPr="00616E39">
        <w:t>.</w:t>
      </w:r>
    </w:p>
    <w:p w14:paraId="0ABF73CD" w14:textId="77777777" w:rsidR="00E03BEF" w:rsidRPr="00616E39" w:rsidRDefault="00E03BEF" w:rsidP="00762765">
      <w:pPr>
        <w:spacing w:line="360" w:lineRule="auto"/>
        <w:jc w:val="both"/>
      </w:pPr>
      <w:r w:rsidRPr="00616E39">
        <w:rPr>
          <w:i/>
          <w:iCs/>
        </w:rPr>
        <w:t>Пациенты с нарушением функции почек</w:t>
      </w:r>
    </w:p>
    <w:p w14:paraId="6DCA3784" w14:textId="77777777" w:rsidR="00E03BEF" w:rsidRPr="00616E39" w:rsidRDefault="00E03BEF" w:rsidP="00762765">
      <w:pPr>
        <w:spacing w:line="360" w:lineRule="auto"/>
        <w:jc w:val="both"/>
      </w:pPr>
      <w:r w:rsidRPr="00616E39">
        <w:t>Поскольку прием тенофовира</w:t>
      </w:r>
      <w:r w:rsidR="00E23B8A" w:rsidRPr="00616E39">
        <w:t xml:space="preserve"> дизопроксила фумарата</w:t>
      </w:r>
      <w:r w:rsidRPr="00616E39">
        <w:t xml:space="preserve"> может привести к поражению почек, рекомендуется внимательно контролировать функцию почек у взрослых пациентов с нарушением функции почек, принимающих </w:t>
      </w:r>
      <w:r w:rsidR="002840C4" w:rsidRPr="00616E39">
        <w:t>Тенофовир</w:t>
      </w:r>
      <w:r w:rsidR="00D42A12" w:rsidRPr="00616E39">
        <w:t> </w:t>
      </w:r>
      <w:r w:rsidR="002840C4" w:rsidRPr="00616E39">
        <w:t>ВМ</w:t>
      </w:r>
      <w:r w:rsidR="00E23B8A" w:rsidRPr="00616E39">
        <w:t xml:space="preserve"> (см. разделы «Способ применения</w:t>
      </w:r>
      <w:r w:rsidR="00616E39" w:rsidRPr="00616E39">
        <w:t xml:space="preserve"> и дозы</w:t>
      </w:r>
      <w:r w:rsidR="00E23B8A" w:rsidRPr="00616E39">
        <w:t>» и «Особые указания»)</w:t>
      </w:r>
      <w:r w:rsidRPr="00616E39">
        <w:t>. Противопоказано применять тенофовир</w:t>
      </w:r>
      <w:r w:rsidR="00E23B8A" w:rsidRPr="00616E39">
        <w:t>а дизопроксила фумарат</w:t>
      </w:r>
      <w:r w:rsidRPr="00616E39">
        <w:t xml:space="preserve"> у детей от 12 до 18</w:t>
      </w:r>
      <w:r w:rsidR="00616E39" w:rsidRPr="00616E39">
        <w:t> </w:t>
      </w:r>
      <w:r w:rsidRPr="00616E39">
        <w:t>лет с нарушением функции почек (см. разделы «Способ применения и дозы» и «Особые указания»).</w:t>
      </w:r>
    </w:p>
    <w:p w14:paraId="01C0BE10" w14:textId="77777777" w:rsidR="002268CE" w:rsidRPr="00116D1A" w:rsidRDefault="00910870" w:rsidP="00613C0A">
      <w:pPr>
        <w:spacing w:before="120" w:line="360" w:lineRule="auto"/>
        <w:jc w:val="both"/>
        <w:rPr>
          <w:b/>
        </w:rPr>
      </w:pPr>
      <w:r w:rsidRPr="00116D1A">
        <w:rPr>
          <w:b/>
        </w:rPr>
        <w:t>Передозировка</w:t>
      </w:r>
    </w:p>
    <w:p w14:paraId="5A483012" w14:textId="77777777" w:rsidR="003F5691" w:rsidRPr="00116D1A" w:rsidRDefault="00E03BEF" w:rsidP="00A77E51">
      <w:pPr>
        <w:widowControl w:val="0"/>
        <w:spacing w:line="360" w:lineRule="auto"/>
        <w:jc w:val="both"/>
      </w:pPr>
      <w:r w:rsidRPr="00116D1A">
        <w:rPr>
          <w:i/>
          <w:iCs/>
        </w:rPr>
        <w:t xml:space="preserve">Симптомы: </w:t>
      </w:r>
      <w:r w:rsidRPr="00116D1A">
        <w:t>в случае передозировки пациент должен находиться под наблюдением относительно признаков токсичности, при необходимости назначается симптоматическая и поддерживающая терапия.</w:t>
      </w:r>
    </w:p>
    <w:p w14:paraId="1E690E97" w14:textId="77777777" w:rsidR="00E03BEF" w:rsidRPr="00116D1A" w:rsidRDefault="00E03BEF" w:rsidP="00A77E51">
      <w:pPr>
        <w:spacing w:line="360" w:lineRule="auto"/>
        <w:jc w:val="both"/>
      </w:pPr>
      <w:r w:rsidRPr="00116D1A">
        <w:rPr>
          <w:i/>
          <w:iCs/>
        </w:rPr>
        <w:lastRenderedPageBreak/>
        <w:t xml:space="preserve">Лечение: </w:t>
      </w:r>
      <w:r w:rsidRPr="00116D1A">
        <w:t>тенофовир может выводиться с помощью гемодиализа, медианное значение клиренса тенофовира составляет 134</w:t>
      </w:r>
      <w:r w:rsidR="00616E39" w:rsidRPr="00116D1A">
        <w:t> </w:t>
      </w:r>
      <w:r w:rsidRPr="00116D1A">
        <w:t>мл/мин. Неизвестно, возможно ли вывести тенофовир с помощью перитонеального диализа.</w:t>
      </w:r>
    </w:p>
    <w:p w14:paraId="3F617E7D" w14:textId="77777777" w:rsidR="002268CE" w:rsidRPr="00116D1A" w:rsidRDefault="000D7255" w:rsidP="00613C0A">
      <w:pPr>
        <w:keepNext/>
        <w:spacing w:before="120" w:line="360" w:lineRule="auto"/>
        <w:jc w:val="both"/>
        <w:rPr>
          <w:b/>
        </w:rPr>
      </w:pPr>
      <w:r w:rsidRPr="00116D1A">
        <w:rPr>
          <w:b/>
        </w:rPr>
        <w:t>Взаимодействие с другими лекарственными средствами</w:t>
      </w:r>
    </w:p>
    <w:p w14:paraId="1A3E4DC4" w14:textId="77777777" w:rsidR="00556592" w:rsidRPr="00116D1A" w:rsidRDefault="00556592" w:rsidP="00A77E51">
      <w:pPr>
        <w:spacing w:line="360" w:lineRule="auto"/>
        <w:jc w:val="both"/>
      </w:pPr>
      <w:r w:rsidRPr="00116D1A">
        <w:t>Исследования взаимодействия проводились только у взрослых.</w:t>
      </w:r>
    </w:p>
    <w:p w14:paraId="633A0F33" w14:textId="77777777" w:rsidR="00556592" w:rsidRPr="00116D1A" w:rsidRDefault="00556592" w:rsidP="00A77E51">
      <w:pPr>
        <w:spacing w:line="360" w:lineRule="auto"/>
        <w:jc w:val="both"/>
      </w:pPr>
      <w:r w:rsidRPr="00116D1A">
        <w:t xml:space="preserve">На основании результатов экспериментов </w:t>
      </w:r>
      <w:r w:rsidRPr="00116D1A">
        <w:rPr>
          <w:i/>
          <w:iCs/>
          <w:lang w:val="en-US" w:eastAsia="en-US"/>
        </w:rPr>
        <w:t>in</w:t>
      </w:r>
      <w:r w:rsidRPr="00116D1A">
        <w:rPr>
          <w:i/>
          <w:iCs/>
          <w:lang w:eastAsia="en-US"/>
        </w:rPr>
        <w:t xml:space="preserve"> </w:t>
      </w:r>
      <w:r w:rsidRPr="00116D1A">
        <w:rPr>
          <w:i/>
          <w:iCs/>
          <w:lang w:val="en-US" w:eastAsia="en-US"/>
        </w:rPr>
        <w:t>vitro</w:t>
      </w:r>
      <w:r w:rsidRPr="00116D1A">
        <w:rPr>
          <w:i/>
          <w:iCs/>
          <w:lang w:eastAsia="en-US"/>
        </w:rPr>
        <w:t xml:space="preserve"> </w:t>
      </w:r>
      <w:r w:rsidRPr="00116D1A">
        <w:t xml:space="preserve">и известного пути выведения тенофовира возможность взаимодействий, опосредованных </w:t>
      </w:r>
      <w:r w:rsidRPr="00116D1A">
        <w:rPr>
          <w:lang w:val="en-US" w:eastAsia="en-US"/>
        </w:rPr>
        <w:t>CYP</w:t>
      </w:r>
      <w:r w:rsidRPr="00116D1A">
        <w:rPr>
          <w:lang w:eastAsia="en-US"/>
        </w:rPr>
        <w:t xml:space="preserve">450, </w:t>
      </w:r>
      <w:r w:rsidRPr="00116D1A">
        <w:t xml:space="preserve">при участии тенофовира и других лекарственных </w:t>
      </w:r>
      <w:r w:rsidR="00BA3DDF" w:rsidRPr="00116D1A">
        <w:t>средств</w:t>
      </w:r>
      <w:r w:rsidRPr="00116D1A">
        <w:t xml:space="preserve"> низкая.</w:t>
      </w:r>
    </w:p>
    <w:p w14:paraId="4565FDCE" w14:textId="77777777" w:rsidR="00556592" w:rsidRPr="00613C0A" w:rsidRDefault="00556592" w:rsidP="00A77E51">
      <w:pPr>
        <w:spacing w:line="360" w:lineRule="auto"/>
        <w:jc w:val="both"/>
        <w:rPr>
          <w:i/>
          <w:u w:val="single"/>
        </w:rPr>
      </w:pPr>
      <w:r w:rsidRPr="00613C0A">
        <w:rPr>
          <w:i/>
          <w:u w:val="single"/>
        </w:rPr>
        <w:t>Одновременное применение не рекомендовано</w:t>
      </w:r>
    </w:p>
    <w:p w14:paraId="74C69F59" w14:textId="77777777" w:rsidR="00556592" w:rsidRPr="00116D1A" w:rsidRDefault="002840C4" w:rsidP="00A77E51">
      <w:pPr>
        <w:spacing w:line="360" w:lineRule="auto"/>
        <w:jc w:val="both"/>
      </w:pPr>
      <w:r w:rsidRPr="00116D1A">
        <w:t>Тенофовир</w:t>
      </w:r>
      <w:r w:rsidR="00D42A12" w:rsidRPr="00116D1A">
        <w:t> </w:t>
      </w:r>
      <w:r w:rsidRPr="00116D1A">
        <w:t>ВМ</w:t>
      </w:r>
      <w:r w:rsidR="00556592" w:rsidRPr="00116D1A">
        <w:t xml:space="preserve"> не следует применять с другими лекарственными </w:t>
      </w:r>
      <w:r w:rsidR="00BA3DDF" w:rsidRPr="00116D1A">
        <w:t>препаратами</w:t>
      </w:r>
      <w:r w:rsidR="00556592" w:rsidRPr="00116D1A">
        <w:t>, содержащими тенофовир</w:t>
      </w:r>
      <w:r w:rsidR="00A13E4F" w:rsidRPr="00116D1A">
        <w:t>а дизопроксила фумарат или тенофовира алафенамид</w:t>
      </w:r>
      <w:r w:rsidR="00556592" w:rsidRPr="00116D1A">
        <w:t>.</w:t>
      </w:r>
    </w:p>
    <w:p w14:paraId="02DC1F88" w14:textId="77777777" w:rsidR="00556592" w:rsidRPr="00116D1A" w:rsidRDefault="00556592" w:rsidP="00A77E51">
      <w:pPr>
        <w:spacing w:line="360" w:lineRule="auto"/>
        <w:jc w:val="both"/>
      </w:pPr>
      <w:r w:rsidRPr="00116D1A">
        <w:rPr>
          <w:i/>
          <w:iCs/>
        </w:rPr>
        <w:t>Диданозин</w:t>
      </w:r>
    </w:p>
    <w:p w14:paraId="51B2642B" w14:textId="77777777" w:rsidR="00556592" w:rsidRPr="00116D1A" w:rsidRDefault="00556592" w:rsidP="00A77E51">
      <w:pPr>
        <w:spacing w:line="360" w:lineRule="auto"/>
        <w:jc w:val="both"/>
      </w:pPr>
      <w:r w:rsidRPr="00116D1A">
        <w:t>Одновременное применение тенофовира</w:t>
      </w:r>
      <w:r w:rsidR="005A3CDE" w:rsidRPr="00116D1A">
        <w:t xml:space="preserve"> дизопроксила фумарата</w:t>
      </w:r>
      <w:r w:rsidRPr="00116D1A">
        <w:t xml:space="preserve"> и диданозина не рекомендуется (см. раздел «Особые указания» и таблицу 2).</w:t>
      </w:r>
    </w:p>
    <w:p w14:paraId="43B9B591" w14:textId="77777777" w:rsidR="00556592" w:rsidRPr="00116D1A" w:rsidRDefault="00556592" w:rsidP="00A77E51">
      <w:pPr>
        <w:spacing w:line="360" w:lineRule="auto"/>
        <w:jc w:val="both"/>
      </w:pPr>
      <w:r w:rsidRPr="00116D1A">
        <w:rPr>
          <w:i/>
          <w:iCs/>
        </w:rPr>
        <w:t xml:space="preserve">Лекарственные </w:t>
      </w:r>
      <w:r w:rsidR="00BA3DDF" w:rsidRPr="00116D1A">
        <w:rPr>
          <w:i/>
          <w:iCs/>
        </w:rPr>
        <w:t>препараты</w:t>
      </w:r>
      <w:r w:rsidRPr="00116D1A">
        <w:rPr>
          <w:i/>
          <w:iCs/>
        </w:rPr>
        <w:t>, которые выводятся почками</w:t>
      </w:r>
    </w:p>
    <w:p w14:paraId="46775464" w14:textId="77777777" w:rsidR="00622117" w:rsidRPr="00116D1A" w:rsidRDefault="00556592" w:rsidP="00A77E51">
      <w:pPr>
        <w:spacing w:line="360" w:lineRule="auto"/>
        <w:jc w:val="both"/>
      </w:pPr>
      <w:r w:rsidRPr="00116D1A">
        <w:t>Поскольку тенофовир выводится преимущественно почками, одновременное применение тенофовира</w:t>
      </w:r>
      <w:r w:rsidR="00A13E4F" w:rsidRPr="00116D1A">
        <w:t xml:space="preserve"> дизопроксила фумарата</w:t>
      </w:r>
      <w:r w:rsidRPr="00116D1A">
        <w:t xml:space="preserve"> с лекарственными препаратами, снижающими почечную функцию или конкурирующими за активную канальцевую секрецию путем транспортных белков </w:t>
      </w:r>
      <w:r w:rsidR="00BB7373" w:rsidRPr="00116D1A">
        <w:rPr>
          <w:lang w:val="en-US" w:eastAsia="en-US"/>
        </w:rPr>
        <w:t>hOAT</w:t>
      </w:r>
      <w:r w:rsidR="00BB7373" w:rsidRPr="00116D1A">
        <w:rPr>
          <w:lang w:eastAsia="en-US"/>
        </w:rPr>
        <w:t> </w:t>
      </w:r>
      <w:r w:rsidRPr="00116D1A">
        <w:t xml:space="preserve">1, </w:t>
      </w:r>
      <w:r w:rsidRPr="00116D1A">
        <w:rPr>
          <w:lang w:val="en-US" w:eastAsia="en-US"/>
        </w:rPr>
        <w:t>hOAT</w:t>
      </w:r>
      <w:r w:rsidR="005A3CDE" w:rsidRPr="00116D1A">
        <w:rPr>
          <w:lang w:eastAsia="en-US"/>
        </w:rPr>
        <w:t> </w:t>
      </w:r>
      <w:r w:rsidRPr="00116D1A">
        <w:t xml:space="preserve">3 или </w:t>
      </w:r>
      <w:r w:rsidRPr="00116D1A">
        <w:rPr>
          <w:lang w:val="en-US" w:eastAsia="en-US"/>
        </w:rPr>
        <w:t>MRP</w:t>
      </w:r>
      <w:r w:rsidR="005A3CDE" w:rsidRPr="00116D1A">
        <w:rPr>
          <w:lang w:eastAsia="en-US"/>
        </w:rPr>
        <w:t> </w:t>
      </w:r>
      <w:r w:rsidRPr="00116D1A">
        <w:t>4 (например, с цидофовиром), может повышать концентрацию тенофовира в сыворотке крови и (или) лекарственных препаратов, принимаемых одновременно.</w:t>
      </w:r>
    </w:p>
    <w:p w14:paraId="6AED5C90" w14:textId="77777777" w:rsidR="00556592" w:rsidRPr="00116D1A" w:rsidRDefault="00556592" w:rsidP="00A77E51">
      <w:pPr>
        <w:spacing w:line="360" w:lineRule="auto"/>
        <w:jc w:val="both"/>
      </w:pPr>
      <w:r w:rsidRPr="00116D1A">
        <w:t>Необходимо избегать применения тенофовира</w:t>
      </w:r>
      <w:r w:rsidR="00622117" w:rsidRPr="00116D1A">
        <w:t xml:space="preserve"> дизопроксила фумарата</w:t>
      </w:r>
      <w:r w:rsidRPr="00116D1A">
        <w:t xml:space="preserve"> с одновременным или недавним применением нефротоксических лекарственных </w:t>
      </w:r>
      <w:r w:rsidR="00BA3DDF" w:rsidRPr="00116D1A">
        <w:t>препаратов</w:t>
      </w:r>
      <w:r w:rsidRPr="00116D1A">
        <w:t xml:space="preserve"> (например, аминогликозидов, амфотерицина</w:t>
      </w:r>
      <w:r w:rsidR="005A3CDE" w:rsidRPr="00116D1A">
        <w:t> </w:t>
      </w:r>
      <w:r w:rsidRPr="00116D1A">
        <w:t>В, фоскарнета, ганцикловира, пентамидина, ванкомицина, цидофовира и интерлейкина-2) (см. раздел «Особые указания»).</w:t>
      </w:r>
    </w:p>
    <w:p w14:paraId="2F04F128" w14:textId="77777777" w:rsidR="00556592" w:rsidRPr="00116D1A" w:rsidRDefault="00556592" w:rsidP="00A77E51">
      <w:pPr>
        <w:spacing w:line="360" w:lineRule="auto"/>
        <w:jc w:val="both"/>
      </w:pPr>
      <w:r w:rsidRPr="00116D1A">
        <w:t>Учитывая, что такролимус может влиять на функцию почек, рекомендуется тщательное наблюдение при его одновременном применении с тенофовир</w:t>
      </w:r>
      <w:r w:rsidR="00622117" w:rsidRPr="00116D1A">
        <w:t>а дизопроксила фумаратом</w:t>
      </w:r>
      <w:r w:rsidRPr="00116D1A">
        <w:t>.</w:t>
      </w:r>
    </w:p>
    <w:p w14:paraId="6BA45449" w14:textId="77777777" w:rsidR="00556592" w:rsidRPr="00FC031E" w:rsidRDefault="00C349A9" w:rsidP="00A77E51">
      <w:pPr>
        <w:spacing w:line="360" w:lineRule="auto"/>
        <w:jc w:val="both"/>
      </w:pPr>
      <w:r w:rsidRPr="00FC031E">
        <w:rPr>
          <w:i/>
          <w:iCs/>
        </w:rPr>
        <w:t>Другие взаимодействия</w:t>
      </w:r>
    </w:p>
    <w:p w14:paraId="1A425CAC" w14:textId="77777777" w:rsidR="00556592" w:rsidRPr="00116D1A" w:rsidRDefault="00556592" w:rsidP="00A77E51">
      <w:pPr>
        <w:spacing w:line="360" w:lineRule="auto"/>
        <w:jc w:val="both"/>
        <w:rPr>
          <w:lang w:eastAsia="en-US"/>
        </w:rPr>
      </w:pPr>
      <w:r w:rsidRPr="00116D1A">
        <w:t xml:space="preserve">Взаимодействия между </w:t>
      </w:r>
      <w:r w:rsidR="00622117" w:rsidRPr="00116D1A">
        <w:t xml:space="preserve">тенофовира дизопроксила фумаратом и другими лекарственными </w:t>
      </w:r>
      <w:r w:rsidR="00BA3DDF" w:rsidRPr="00116D1A">
        <w:t>препаратами</w:t>
      </w:r>
      <w:r w:rsidRPr="00116D1A">
        <w:t xml:space="preserve"> представлены ниже в Таблице</w:t>
      </w:r>
      <w:r w:rsidR="005A3CDE" w:rsidRPr="00116D1A">
        <w:t> </w:t>
      </w:r>
      <w:r w:rsidRPr="00116D1A">
        <w:t xml:space="preserve">2 (увеличение обозначено </w:t>
      </w:r>
      <w:r w:rsidR="00622117" w:rsidRPr="00116D1A">
        <w:t>«</w:t>
      </w:r>
      <w:r w:rsidRPr="00116D1A">
        <w:t>↑</w:t>
      </w:r>
      <w:r w:rsidR="00622117" w:rsidRPr="00116D1A">
        <w:t>»</w:t>
      </w:r>
      <w:r w:rsidRPr="00116D1A">
        <w:t xml:space="preserve">, уменьшение </w:t>
      </w:r>
      <w:r w:rsidR="002D1F49" w:rsidRPr="00116D1A">
        <w:t>–</w:t>
      </w:r>
      <w:r w:rsidRPr="00116D1A">
        <w:t xml:space="preserve"> </w:t>
      </w:r>
      <w:r w:rsidR="00622117" w:rsidRPr="00116D1A">
        <w:rPr>
          <w:spacing w:val="-20"/>
        </w:rPr>
        <w:t>«↓»,</w:t>
      </w:r>
      <w:r w:rsidR="00622117" w:rsidRPr="00116D1A">
        <w:t xml:space="preserve"> </w:t>
      </w:r>
      <w:r w:rsidRPr="00116D1A">
        <w:t>отсутствие изменений</w:t>
      </w:r>
      <w:r w:rsidR="002D1F49" w:rsidRPr="00116D1A">
        <w:t xml:space="preserve"> – </w:t>
      </w:r>
      <w:r w:rsidRPr="00116D1A">
        <w:rPr>
          <w:spacing w:val="-20"/>
        </w:rPr>
        <w:t>«↔»,</w:t>
      </w:r>
      <w:r w:rsidRPr="00116D1A">
        <w:t xml:space="preserve"> </w:t>
      </w:r>
      <w:r w:rsidR="005A3CDE" w:rsidRPr="00116D1A">
        <w:t>2 </w:t>
      </w:r>
      <w:r w:rsidRPr="00116D1A">
        <w:t xml:space="preserve">раза в сутки </w:t>
      </w:r>
      <w:r w:rsidR="002D1F49" w:rsidRPr="00116D1A">
        <w:t>–</w:t>
      </w:r>
      <w:r w:rsidRPr="00116D1A">
        <w:t xml:space="preserve"> </w:t>
      </w:r>
      <w:r w:rsidRPr="00116D1A">
        <w:rPr>
          <w:lang w:eastAsia="en-US"/>
        </w:rPr>
        <w:t>«</w:t>
      </w:r>
      <w:r w:rsidRPr="00116D1A">
        <w:rPr>
          <w:lang w:val="en-US" w:eastAsia="en-US"/>
        </w:rPr>
        <w:t>b</w:t>
      </w:r>
      <w:r w:rsidRPr="00116D1A">
        <w:rPr>
          <w:lang w:eastAsia="en-US"/>
        </w:rPr>
        <w:t>.</w:t>
      </w:r>
      <w:r w:rsidRPr="00116D1A">
        <w:rPr>
          <w:lang w:val="en-US" w:eastAsia="en-US"/>
        </w:rPr>
        <w:t>i</w:t>
      </w:r>
      <w:r w:rsidRPr="00116D1A">
        <w:rPr>
          <w:lang w:eastAsia="en-US"/>
        </w:rPr>
        <w:t>.</w:t>
      </w:r>
      <w:r w:rsidRPr="00116D1A">
        <w:rPr>
          <w:lang w:val="en-US" w:eastAsia="en-US"/>
        </w:rPr>
        <w:t>d</w:t>
      </w:r>
      <w:r w:rsidRPr="00116D1A">
        <w:rPr>
          <w:lang w:eastAsia="en-US"/>
        </w:rPr>
        <w:t xml:space="preserve">.» </w:t>
      </w:r>
      <w:r w:rsidRPr="00116D1A">
        <w:t xml:space="preserve">и </w:t>
      </w:r>
      <w:r w:rsidR="005A3CDE" w:rsidRPr="00116D1A">
        <w:t>1 </w:t>
      </w:r>
      <w:r w:rsidRPr="00116D1A">
        <w:t xml:space="preserve">раз в сутки </w:t>
      </w:r>
      <w:r w:rsidR="002D1F49" w:rsidRPr="00116D1A">
        <w:t>–</w:t>
      </w:r>
      <w:r w:rsidRPr="00116D1A">
        <w:t xml:space="preserve"> </w:t>
      </w:r>
      <w:r w:rsidRPr="00116D1A">
        <w:rPr>
          <w:lang w:eastAsia="en-US"/>
        </w:rPr>
        <w:t>«</w:t>
      </w:r>
      <w:r w:rsidRPr="00116D1A">
        <w:rPr>
          <w:lang w:val="en-US" w:eastAsia="en-US"/>
        </w:rPr>
        <w:t>q</w:t>
      </w:r>
      <w:r w:rsidRPr="00116D1A">
        <w:rPr>
          <w:lang w:eastAsia="en-US"/>
        </w:rPr>
        <w:t>.</w:t>
      </w:r>
      <w:r w:rsidRPr="00116D1A">
        <w:rPr>
          <w:lang w:val="en-US" w:eastAsia="en-US"/>
        </w:rPr>
        <w:t>d</w:t>
      </w:r>
      <w:r w:rsidRPr="00116D1A">
        <w:rPr>
          <w:lang w:eastAsia="en-US"/>
        </w:rPr>
        <w:t>.»).</w:t>
      </w:r>
    </w:p>
    <w:p w14:paraId="7EE9F88A" w14:textId="77777777" w:rsidR="00556592" w:rsidRPr="006D7B41" w:rsidRDefault="00556592" w:rsidP="005A3CDE">
      <w:pPr>
        <w:keepNext/>
        <w:spacing w:line="360" w:lineRule="auto"/>
        <w:jc w:val="right"/>
      </w:pPr>
      <w:r w:rsidRPr="006D7B41">
        <w:rPr>
          <w:rStyle w:val="CharStyle7"/>
          <w:rFonts w:eastAsiaTheme="minorEastAsia"/>
          <w:sz w:val="24"/>
          <w:szCs w:val="24"/>
        </w:rPr>
        <w:lastRenderedPageBreak/>
        <w:t xml:space="preserve">Таблица </w:t>
      </w:r>
      <w:r w:rsidRPr="006D7B41">
        <w:rPr>
          <w:rStyle w:val="CharStyle198"/>
          <w:rFonts w:eastAsiaTheme="minorEastAsia"/>
          <w:sz w:val="24"/>
          <w:szCs w:val="24"/>
        </w:rPr>
        <w:t>2</w:t>
      </w:r>
      <w:r w:rsidRPr="006D7B41">
        <w:t xml:space="preserve"> </w:t>
      </w:r>
    </w:p>
    <w:p w14:paraId="70F0BFF7" w14:textId="77777777" w:rsidR="00142425" w:rsidRPr="006D7B41" w:rsidRDefault="00556592" w:rsidP="00170EF3">
      <w:pPr>
        <w:keepNext/>
        <w:spacing w:after="120" w:line="276" w:lineRule="auto"/>
        <w:jc w:val="center"/>
      </w:pPr>
      <w:r w:rsidRPr="006D7B41">
        <w:rPr>
          <w:rStyle w:val="CharStyle7"/>
          <w:rFonts w:eastAsiaTheme="minorEastAsia"/>
          <w:sz w:val="24"/>
          <w:szCs w:val="24"/>
        </w:rPr>
        <w:t xml:space="preserve">Взаимодействия между </w:t>
      </w:r>
      <w:r w:rsidR="00622117" w:rsidRPr="006D7B41">
        <w:rPr>
          <w:rStyle w:val="CharStyle7"/>
          <w:rFonts w:eastAsiaTheme="minorEastAsia"/>
          <w:sz w:val="24"/>
          <w:szCs w:val="24"/>
        </w:rPr>
        <w:t>тенофовир</w:t>
      </w:r>
      <w:r w:rsidR="00622117">
        <w:rPr>
          <w:rStyle w:val="CharStyle7"/>
          <w:rFonts w:eastAsiaTheme="minorEastAsia"/>
          <w:sz w:val="24"/>
          <w:szCs w:val="24"/>
        </w:rPr>
        <w:t xml:space="preserve">а </w:t>
      </w:r>
      <w:r w:rsidR="00B923DE" w:rsidRPr="00B923DE">
        <w:rPr>
          <w:b/>
        </w:rPr>
        <w:t>дизопроксила фумаратом</w:t>
      </w:r>
      <w:r w:rsidR="00622117" w:rsidRPr="006D7B41">
        <w:rPr>
          <w:rStyle w:val="CharStyle7"/>
          <w:rFonts w:eastAsiaTheme="minorEastAsia"/>
          <w:sz w:val="24"/>
          <w:szCs w:val="24"/>
        </w:rPr>
        <w:t xml:space="preserve"> </w:t>
      </w:r>
      <w:r w:rsidRPr="006D7B41">
        <w:rPr>
          <w:rStyle w:val="CharStyle7"/>
          <w:rFonts w:eastAsiaTheme="minorEastAsia"/>
          <w:sz w:val="24"/>
          <w:szCs w:val="24"/>
        </w:rPr>
        <w:t>и другими лекарственными препаратами</w:t>
      </w:r>
    </w:p>
    <w:tbl>
      <w:tblPr>
        <w:tblW w:w="505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7"/>
        <w:gridCol w:w="2999"/>
        <w:gridCol w:w="13"/>
        <w:gridCol w:w="3551"/>
        <w:gridCol w:w="28"/>
      </w:tblGrid>
      <w:tr w:rsidR="00556592" w:rsidRPr="007469A4" w14:paraId="66A497C9" w14:textId="77777777" w:rsidTr="00170EF3">
        <w:trPr>
          <w:gridAfter w:val="1"/>
          <w:wAfter w:w="15" w:type="pct"/>
          <w:tblHeader/>
        </w:trPr>
        <w:tc>
          <w:tcPr>
            <w:tcW w:w="1508" w:type="pct"/>
            <w:vAlign w:val="center"/>
          </w:tcPr>
          <w:p w14:paraId="5F014E0E" w14:textId="77777777" w:rsidR="007469A4" w:rsidRPr="007469A4" w:rsidRDefault="00556592" w:rsidP="007469A4">
            <w:pPr>
              <w:pStyle w:val="Style509"/>
              <w:spacing w:line="276" w:lineRule="auto"/>
              <w:rPr>
                <w:rStyle w:val="CharStyle272"/>
                <w:sz w:val="22"/>
                <w:szCs w:val="22"/>
              </w:rPr>
            </w:pPr>
            <w:r w:rsidRPr="007469A4">
              <w:rPr>
                <w:rStyle w:val="CharStyle272"/>
                <w:sz w:val="22"/>
                <w:szCs w:val="22"/>
              </w:rPr>
              <w:t>Лекарственный препарат по терапевтическим направлениям</w:t>
            </w:r>
          </w:p>
          <w:p w14:paraId="501C5B82" w14:textId="77777777" w:rsidR="00556592" w:rsidRPr="007469A4" w:rsidRDefault="00556592" w:rsidP="007469A4">
            <w:pPr>
              <w:pStyle w:val="Style509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rStyle w:val="CharStyle272"/>
                <w:sz w:val="22"/>
                <w:szCs w:val="22"/>
              </w:rPr>
              <w:t>(доза в мг)</w:t>
            </w:r>
          </w:p>
        </w:tc>
        <w:tc>
          <w:tcPr>
            <w:tcW w:w="1589" w:type="pct"/>
            <w:vAlign w:val="center"/>
          </w:tcPr>
          <w:p w14:paraId="6AEF5DB2" w14:textId="77777777" w:rsidR="007469A4" w:rsidRPr="007469A4" w:rsidRDefault="00556592" w:rsidP="007469A4">
            <w:pPr>
              <w:pStyle w:val="Style511"/>
              <w:spacing w:line="276" w:lineRule="auto"/>
              <w:jc w:val="center"/>
              <w:rPr>
                <w:rStyle w:val="CharStyle272"/>
                <w:sz w:val="22"/>
                <w:szCs w:val="22"/>
              </w:rPr>
            </w:pPr>
            <w:r w:rsidRPr="007469A4">
              <w:rPr>
                <w:rStyle w:val="CharStyle272"/>
                <w:sz w:val="22"/>
                <w:szCs w:val="22"/>
              </w:rPr>
              <w:t xml:space="preserve">Влияние на </w:t>
            </w:r>
            <w:r w:rsidR="00622117" w:rsidRPr="007469A4">
              <w:rPr>
                <w:rStyle w:val="CharStyle272"/>
                <w:sz w:val="22"/>
                <w:szCs w:val="22"/>
              </w:rPr>
              <w:t>уровень</w:t>
            </w:r>
          </w:p>
          <w:p w14:paraId="7BEA5CD6" w14:textId="77777777" w:rsidR="007469A4" w:rsidRPr="007469A4" w:rsidRDefault="00622117" w:rsidP="007469A4">
            <w:pPr>
              <w:pStyle w:val="Style511"/>
              <w:spacing w:line="276" w:lineRule="auto"/>
              <w:jc w:val="center"/>
              <w:rPr>
                <w:rStyle w:val="CharStyle272"/>
                <w:sz w:val="22"/>
                <w:szCs w:val="22"/>
              </w:rPr>
            </w:pPr>
            <w:r w:rsidRPr="007469A4">
              <w:rPr>
                <w:rStyle w:val="CharStyle272"/>
                <w:sz w:val="22"/>
                <w:szCs w:val="22"/>
              </w:rPr>
              <w:t>препаратов в плазме</w:t>
            </w:r>
            <w:r w:rsidR="00556592" w:rsidRPr="007469A4">
              <w:rPr>
                <w:rStyle w:val="CharStyle272"/>
                <w:sz w:val="22"/>
                <w:szCs w:val="22"/>
              </w:rPr>
              <w:t>,</w:t>
            </w:r>
          </w:p>
          <w:p w14:paraId="68F88296" w14:textId="77777777" w:rsidR="007469A4" w:rsidRPr="007469A4" w:rsidRDefault="00556592" w:rsidP="007469A4">
            <w:pPr>
              <w:pStyle w:val="Style511"/>
              <w:spacing w:line="276" w:lineRule="auto"/>
              <w:jc w:val="center"/>
              <w:rPr>
                <w:rStyle w:val="CharStyle272"/>
                <w:sz w:val="22"/>
                <w:szCs w:val="22"/>
              </w:rPr>
            </w:pPr>
            <w:r w:rsidRPr="007469A4">
              <w:rPr>
                <w:rStyle w:val="CharStyle272"/>
                <w:sz w:val="22"/>
                <w:szCs w:val="22"/>
              </w:rPr>
              <w:t>среднее изменение</w:t>
            </w:r>
          </w:p>
          <w:p w14:paraId="20B6B6A5" w14:textId="77777777" w:rsidR="00556592" w:rsidRPr="007469A4" w:rsidRDefault="00556592" w:rsidP="00CB2639">
            <w:pPr>
              <w:pStyle w:val="Style511"/>
              <w:spacing w:line="276" w:lineRule="auto"/>
              <w:jc w:val="center"/>
              <w:rPr>
                <w:sz w:val="22"/>
                <w:szCs w:val="22"/>
              </w:rPr>
            </w:pPr>
            <w:r w:rsidRPr="007469A4">
              <w:rPr>
                <w:rStyle w:val="CharStyle272"/>
                <w:sz w:val="22"/>
                <w:szCs w:val="22"/>
                <w:lang w:val="en-US" w:eastAsia="en-US"/>
              </w:rPr>
              <w:t>A</w:t>
            </w:r>
            <w:r w:rsidR="00622117" w:rsidRPr="007469A4">
              <w:rPr>
                <w:rStyle w:val="CharStyle272"/>
                <w:sz w:val="22"/>
                <w:szCs w:val="22"/>
                <w:lang w:val="en-US" w:eastAsia="en-US"/>
              </w:rPr>
              <w:t>U</w:t>
            </w:r>
            <w:r w:rsidRPr="007469A4">
              <w:rPr>
                <w:rStyle w:val="CharStyle272"/>
                <w:sz w:val="22"/>
                <w:szCs w:val="22"/>
                <w:lang w:val="en-US" w:eastAsia="en-US"/>
              </w:rPr>
              <w:t>C</w:t>
            </w:r>
            <w:r w:rsidRPr="007469A4">
              <w:rPr>
                <w:rStyle w:val="CharStyle272"/>
                <w:sz w:val="22"/>
                <w:szCs w:val="22"/>
                <w:lang w:eastAsia="en-US"/>
              </w:rPr>
              <w:t xml:space="preserve">, </w:t>
            </w:r>
            <w:r w:rsidRPr="007469A4">
              <w:rPr>
                <w:rStyle w:val="CharStyle272"/>
                <w:sz w:val="22"/>
                <w:szCs w:val="22"/>
              </w:rPr>
              <w:t>С</w:t>
            </w:r>
            <w:r w:rsidRPr="007469A4">
              <w:rPr>
                <w:rStyle w:val="CharStyle272"/>
                <w:sz w:val="22"/>
                <w:szCs w:val="22"/>
                <w:vertAlign w:val="subscript"/>
                <w:lang w:val="en-US" w:eastAsia="en-US"/>
              </w:rPr>
              <w:t>max</w:t>
            </w:r>
            <w:r w:rsidRPr="007469A4">
              <w:rPr>
                <w:rStyle w:val="CharStyle272"/>
                <w:sz w:val="22"/>
                <w:szCs w:val="22"/>
              </w:rPr>
              <w:t>, С</w:t>
            </w:r>
            <w:r w:rsidRPr="007469A4">
              <w:rPr>
                <w:rStyle w:val="CharStyle272"/>
                <w:sz w:val="22"/>
                <w:szCs w:val="22"/>
                <w:vertAlign w:val="subscript"/>
                <w:lang w:val="en-US" w:eastAsia="en-US"/>
              </w:rPr>
              <w:t>min</w:t>
            </w:r>
          </w:p>
        </w:tc>
        <w:tc>
          <w:tcPr>
            <w:tcW w:w="1888" w:type="pct"/>
            <w:gridSpan w:val="2"/>
            <w:vAlign w:val="center"/>
          </w:tcPr>
          <w:p w14:paraId="1C899EFA" w14:textId="77777777" w:rsidR="00556592" w:rsidRPr="007469A4" w:rsidRDefault="00556592" w:rsidP="007469A4">
            <w:pPr>
              <w:pStyle w:val="Style509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rStyle w:val="CharStyle272"/>
                <w:sz w:val="22"/>
                <w:szCs w:val="22"/>
              </w:rPr>
              <w:t>Рекомендация относительно одновременного применения с тенофовира дизопроксила фумаратом 300</w:t>
            </w:r>
            <w:r w:rsidR="007469A4" w:rsidRPr="007469A4">
              <w:rPr>
                <w:rStyle w:val="CharStyle272"/>
                <w:sz w:val="22"/>
                <w:szCs w:val="22"/>
              </w:rPr>
              <w:t> </w:t>
            </w:r>
            <w:r w:rsidRPr="007469A4">
              <w:rPr>
                <w:rStyle w:val="CharStyle272"/>
                <w:sz w:val="22"/>
                <w:szCs w:val="22"/>
              </w:rPr>
              <w:t>мг</w:t>
            </w:r>
          </w:p>
        </w:tc>
      </w:tr>
      <w:tr w:rsidR="00556592" w:rsidRPr="007469A4" w14:paraId="23C7519D" w14:textId="77777777" w:rsidTr="00B40D16">
        <w:trPr>
          <w:gridAfter w:val="1"/>
          <w:wAfter w:w="15" w:type="pct"/>
        </w:trPr>
        <w:tc>
          <w:tcPr>
            <w:tcW w:w="4985" w:type="pct"/>
            <w:gridSpan w:val="4"/>
          </w:tcPr>
          <w:p w14:paraId="535FF859" w14:textId="77777777" w:rsidR="00556592" w:rsidRPr="007469A4" w:rsidRDefault="00556592" w:rsidP="009C56A3">
            <w:pPr>
              <w:pStyle w:val="Style509"/>
              <w:spacing w:line="276" w:lineRule="auto"/>
              <w:jc w:val="left"/>
              <w:rPr>
                <w:sz w:val="22"/>
                <w:szCs w:val="22"/>
              </w:rPr>
            </w:pPr>
            <w:r w:rsidRPr="007469A4">
              <w:rPr>
                <w:rStyle w:val="CharStyle272"/>
                <w:sz w:val="22"/>
                <w:szCs w:val="22"/>
              </w:rPr>
              <w:t>ПРОТИВОИНФЕКЦИОННЫЕ</w:t>
            </w:r>
          </w:p>
        </w:tc>
      </w:tr>
      <w:tr w:rsidR="00556592" w:rsidRPr="007469A4" w14:paraId="0910D1A6" w14:textId="77777777" w:rsidTr="00B40D16">
        <w:trPr>
          <w:gridAfter w:val="1"/>
          <w:wAfter w:w="15" w:type="pct"/>
        </w:trPr>
        <w:tc>
          <w:tcPr>
            <w:tcW w:w="4985" w:type="pct"/>
            <w:gridSpan w:val="4"/>
          </w:tcPr>
          <w:p w14:paraId="3092C15D" w14:textId="77777777" w:rsidR="00556592" w:rsidRPr="007469A4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rStyle w:val="CharStyle272"/>
                <w:sz w:val="22"/>
                <w:szCs w:val="22"/>
              </w:rPr>
              <w:t>Антиретровирусные</w:t>
            </w:r>
          </w:p>
        </w:tc>
      </w:tr>
      <w:tr w:rsidR="00556592" w:rsidRPr="007469A4" w14:paraId="02B9EF1E" w14:textId="77777777" w:rsidTr="00B40D16">
        <w:trPr>
          <w:gridAfter w:val="1"/>
          <w:wAfter w:w="15" w:type="pct"/>
        </w:trPr>
        <w:tc>
          <w:tcPr>
            <w:tcW w:w="4985" w:type="pct"/>
            <w:gridSpan w:val="4"/>
          </w:tcPr>
          <w:p w14:paraId="65477E02" w14:textId="77777777" w:rsidR="00556592" w:rsidRPr="007469A4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rStyle w:val="CharStyle272"/>
                <w:sz w:val="22"/>
                <w:szCs w:val="22"/>
              </w:rPr>
              <w:t>Ингибиторы протеазы</w:t>
            </w:r>
          </w:p>
        </w:tc>
      </w:tr>
      <w:tr w:rsidR="00556592" w:rsidRPr="007469A4" w14:paraId="16D16511" w14:textId="77777777" w:rsidTr="00170EF3">
        <w:trPr>
          <w:gridAfter w:val="1"/>
          <w:wAfter w:w="15" w:type="pct"/>
          <w:trHeight w:val="2070"/>
        </w:trPr>
        <w:tc>
          <w:tcPr>
            <w:tcW w:w="1508" w:type="pct"/>
          </w:tcPr>
          <w:p w14:paraId="321703F4" w14:textId="77777777" w:rsidR="00556592" w:rsidRPr="007469A4" w:rsidRDefault="00556592" w:rsidP="009C56A3">
            <w:pPr>
              <w:pStyle w:val="Style509"/>
              <w:spacing w:line="276" w:lineRule="auto"/>
              <w:jc w:val="left"/>
              <w:rPr>
                <w:bCs/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Атазанавир/Ритонавир</w:t>
            </w:r>
          </w:p>
          <w:p w14:paraId="37FF6802" w14:textId="77777777" w:rsidR="00556592" w:rsidRPr="007469A4" w:rsidRDefault="00556592" w:rsidP="009C56A3">
            <w:pPr>
              <w:pStyle w:val="Style509"/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(300</w:t>
            </w:r>
            <w:r w:rsidR="00615166">
              <w:rPr>
                <w:bCs/>
                <w:sz w:val="22"/>
                <w:szCs w:val="22"/>
              </w:rPr>
              <w:t> </w:t>
            </w:r>
            <w:r w:rsidR="00960EEC" w:rsidRPr="007469A4">
              <w:rPr>
                <w:bCs/>
                <w:sz w:val="22"/>
                <w:szCs w:val="22"/>
              </w:rPr>
              <w:t>мг</w:t>
            </w:r>
            <w:r w:rsidR="00170EF3">
              <w:rPr>
                <w:bCs/>
                <w:sz w:val="22"/>
                <w:szCs w:val="22"/>
              </w:rPr>
              <w:t> </w:t>
            </w:r>
            <w:r w:rsidRPr="007469A4">
              <w:rPr>
                <w:bCs/>
                <w:sz w:val="22"/>
                <w:szCs w:val="22"/>
              </w:rPr>
              <w:t>q.d./100</w:t>
            </w:r>
            <w:r w:rsidR="00615166">
              <w:rPr>
                <w:bCs/>
                <w:sz w:val="22"/>
                <w:szCs w:val="22"/>
              </w:rPr>
              <w:t> </w:t>
            </w:r>
            <w:r w:rsidR="00960EEC" w:rsidRPr="007469A4">
              <w:rPr>
                <w:bCs/>
                <w:sz w:val="22"/>
                <w:szCs w:val="22"/>
              </w:rPr>
              <w:t>мг</w:t>
            </w:r>
            <w:r w:rsidR="00170EF3">
              <w:rPr>
                <w:bCs/>
                <w:sz w:val="22"/>
                <w:szCs w:val="22"/>
              </w:rPr>
              <w:t> </w:t>
            </w:r>
            <w:r w:rsidRPr="007469A4">
              <w:rPr>
                <w:bCs/>
                <w:sz w:val="22"/>
                <w:szCs w:val="22"/>
              </w:rPr>
              <w:t>q.d.)</w:t>
            </w:r>
          </w:p>
        </w:tc>
        <w:tc>
          <w:tcPr>
            <w:tcW w:w="1589" w:type="pct"/>
          </w:tcPr>
          <w:p w14:paraId="5C45E054" w14:textId="77777777" w:rsidR="00556592" w:rsidRPr="007469A4" w:rsidRDefault="00615166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Атазанавир</w:t>
            </w:r>
          </w:p>
          <w:p w14:paraId="7FBBDAEA" w14:textId="77777777" w:rsidR="00556592" w:rsidRPr="007469A4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</w:t>
            </w:r>
            <w:r w:rsidR="005642E5" w:rsidRPr="007469A4">
              <w:rPr>
                <w:sz w:val="22"/>
                <w:szCs w:val="22"/>
              </w:rPr>
              <w:t xml:space="preserve"> ↓</w:t>
            </w:r>
            <w:r w:rsidRPr="007469A4">
              <w:rPr>
                <w:sz w:val="22"/>
                <w:szCs w:val="22"/>
              </w:rPr>
              <w:t xml:space="preserve"> 25</w:t>
            </w:r>
            <w:r w:rsidR="00615166">
              <w:rPr>
                <w:sz w:val="22"/>
                <w:szCs w:val="22"/>
              </w:rPr>
              <w:t> %</w:t>
            </w:r>
          </w:p>
          <w:p w14:paraId="64CA527E" w14:textId="77777777" w:rsidR="00556592" w:rsidRPr="007469A4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 xml:space="preserve">: </w:t>
            </w:r>
            <w:r w:rsidR="005642E5" w:rsidRPr="007469A4">
              <w:rPr>
                <w:sz w:val="22"/>
                <w:szCs w:val="22"/>
              </w:rPr>
              <w:t>↓</w:t>
            </w:r>
            <w:r w:rsidR="002D1F49" w:rsidRPr="007469A4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28</w:t>
            </w:r>
            <w:r w:rsidR="00615166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40CBA5FB" w14:textId="77777777" w:rsidR="00556592" w:rsidRPr="007469A4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↓ 26</w:t>
            </w:r>
            <w:r w:rsidR="00615166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5FAB71D6" w14:textId="77777777" w:rsidR="00556592" w:rsidRPr="007469A4" w:rsidRDefault="00615166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Тенофовир</w:t>
            </w:r>
          </w:p>
          <w:p w14:paraId="4F3B0EE9" w14:textId="77777777" w:rsidR="00556592" w:rsidRPr="007469A4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↑ 37</w:t>
            </w:r>
            <w:r w:rsidR="00615166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27B7D743" w14:textId="77777777" w:rsidR="00556592" w:rsidRPr="007469A4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</w:t>
            </w:r>
            <w:r w:rsidR="00615166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↑</w:t>
            </w:r>
            <w:r w:rsidR="002D1F49" w:rsidRPr="007469A4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34</w:t>
            </w:r>
            <w:r w:rsidR="00615166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52C9FE47" w14:textId="77777777" w:rsidR="00556592" w:rsidRPr="007469A4" w:rsidRDefault="00556592" w:rsidP="009C56A3">
            <w:pPr>
              <w:pStyle w:val="Style177"/>
              <w:spacing w:after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29</w:t>
            </w:r>
            <w:r w:rsidR="00615166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</w:tc>
        <w:tc>
          <w:tcPr>
            <w:tcW w:w="1888" w:type="pct"/>
            <w:gridSpan w:val="2"/>
          </w:tcPr>
          <w:p w14:paraId="2A2CDAF0" w14:textId="77777777" w:rsidR="00A8446B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Коррекции дозы не требуется.</w:t>
            </w:r>
            <w:r w:rsidR="00D43628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Увеличенная экспозиция тенофовира может усиливать связанные с тенофовиром нежелательные явления, включая патологию почек.</w:t>
            </w:r>
            <w:r w:rsidR="00D43628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Необходимо тщательно контролировать функцию почек</w:t>
            </w:r>
            <w:r w:rsidR="00622117" w:rsidRPr="007469A4">
              <w:rPr>
                <w:sz w:val="22"/>
                <w:szCs w:val="22"/>
              </w:rPr>
              <w:t xml:space="preserve"> </w:t>
            </w:r>
          </w:p>
          <w:p w14:paraId="15D7E74E" w14:textId="77777777" w:rsidR="00556592" w:rsidRPr="007469A4" w:rsidRDefault="00622117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556592" w:rsidRPr="007469A4" w14:paraId="5D5B5A84" w14:textId="77777777" w:rsidTr="00170EF3">
        <w:trPr>
          <w:gridAfter w:val="1"/>
          <w:wAfter w:w="15" w:type="pct"/>
          <w:trHeight w:val="1949"/>
        </w:trPr>
        <w:tc>
          <w:tcPr>
            <w:tcW w:w="1508" w:type="pct"/>
          </w:tcPr>
          <w:p w14:paraId="7A1F0CD2" w14:textId="77777777" w:rsidR="00556592" w:rsidRPr="007469A4" w:rsidRDefault="00556592" w:rsidP="009C56A3">
            <w:pPr>
              <w:pStyle w:val="Style509"/>
              <w:spacing w:line="276" w:lineRule="auto"/>
              <w:jc w:val="left"/>
              <w:rPr>
                <w:bCs/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Лопинавир/Ритонавир</w:t>
            </w:r>
          </w:p>
          <w:p w14:paraId="143BD7B7" w14:textId="77777777" w:rsidR="00556592" w:rsidRPr="007469A4" w:rsidRDefault="00556592" w:rsidP="009C56A3">
            <w:pPr>
              <w:pStyle w:val="Style509"/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(400</w:t>
            </w:r>
            <w:r w:rsidR="00615166">
              <w:rPr>
                <w:bCs/>
                <w:sz w:val="22"/>
                <w:szCs w:val="22"/>
              </w:rPr>
              <w:t> </w:t>
            </w:r>
            <w:r w:rsidR="00960EEC" w:rsidRPr="007469A4">
              <w:rPr>
                <w:bCs/>
                <w:sz w:val="22"/>
                <w:szCs w:val="22"/>
              </w:rPr>
              <w:t>мг</w:t>
            </w:r>
            <w:r w:rsidR="00170EF3">
              <w:rPr>
                <w:bCs/>
                <w:sz w:val="22"/>
                <w:szCs w:val="22"/>
              </w:rPr>
              <w:t> </w:t>
            </w:r>
            <w:r w:rsidRPr="007469A4">
              <w:rPr>
                <w:bCs/>
                <w:sz w:val="22"/>
                <w:szCs w:val="22"/>
              </w:rPr>
              <w:t>b.i.d./100</w:t>
            </w:r>
            <w:r w:rsidR="00615166">
              <w:rPr>
                <w:bCs/>
                <w:sz w:val="22"/>
                <w:szCs w:val="22"/>
              </w:rPr>
              <w:t> </w:t>
            </w:r>
            <w:r w:rsidR="00960EEC" w:rsidRPr="007469A4">
              <w:rPr>
                <w:bCs/>
                <w:sz w:val="22"/>
                <w:szCs w:val="22"/>
              </w:rPr>
              <w:t>мг</w:t>
            </w:r>
            <w:r w:rsidR="00170EF3">
              <w:rPr>
                <w:bCs/>
                <w:sz w:val="22"/>
                <w:szCs w:val="22"/>
              </w:rPr>
              <w:t> </w:t>
            </w:r>
            <w:r w:rsidRPr="007469A4">
              <w:rPr>
                <w:bCs/>
                <w:sz w:val="22"/>
                <w:szCs w:val="22"/>
              </w:rPr>
              <w:t>b.i.d.)</w:t>
            </w:r>
          </w:p>
        </w:tc>
        <w:tc>
          <w:tcPr>
            <w:tcW w:w="1589" w:type="pct"/>
          </w:tcPr>
          <w:p w14:paraId="56CF5208" w14:textId="77777777" w:rsidR="00556592" w:rsidRPr="007469A4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Лопинавир/Ритонавир</w:t>
            </w:r>
          </w:p>
          <w:p w14:paraId="6A8AF2D7" w14:textId="77777777" w:rsidR="00556592" w:rsidRPr="007469A4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Нет существенного воздействия на параметры ФК л</w:t>
            </w:r>
            <w:r w:rsidR="00615166">
              <w:rPr>
                <w:sz w:val="22"/>
                <w:szCs w:val="22"/>
              </w:rPr>
              <w:t>опинавира/ритонавира</w:t>
            </w:r>
          </w:p>
          <w:p w14:paraId="6F931E8F" w14:textId="77777777" w:rsidR="00556592" w:rsidRPr="007469A4" w:rsidRDefault="00615166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Тенофовир</w:t>
            </w:r>
          </w:p>
          <w:p w14:paraId="7A0848D6" w14:textId="77777777" w:rsidR="00556592" w:rsidRPr="007469A4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↑ 32</w:t>
            </w:r>
            <w:r w:rsidR="00615166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2ADF215F" w14:textId="77777777" w:rsidR="00556592" w:rsidRPr="007469A4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max</w:t>
            </w:r>
            <w:r w:rsidRPr="007469A4">
              <w:rPr>
                <w:sz w:val="22"/>
                <w:szCs w:val="22"/>
              </w:rPr>
              <w:t>: ↔</w:t>
            </w:r>
          </w:p>
          <w:p w14:paraId="4D0FF514" w14:textId="77777777" w:rsidR="00556592" w:rsidRPr="007469A4" w:rsidRDefault="00556592" w:rsidP="009C56A3">
            <w:pPr>
              <w:pStyle w:val="Style177"/>
              <w:spacing w:after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51</w:t>
            </w:r>
            <w:r w:rsidR="00615166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</w:tc>
        <w:tc>
          <w:tcPr>
            <w:tcW w:w="1888" w:type="pct"/>
            <w:gridSpan w:val="2"/>
          </w:tcPr>
          <w:p w14:paraId="7839E99D" w14:textId="77777777" w:rsidR="00A8446B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Коррекции дозы не требуется. Увеличенная экспозиция тенофовира может усиливать связанные с тенофовиром нежелательные явления, включая патологию почек. Необходимо тщательно контролировать функцию почек</w:t>
            </w:r>
            <w:r w:rsidR="00622117" w:rsidRPr="007469A4">
              <w:rPr>
                <w:sz w:val="22"/>
                <w:szCs w:val="22"/>
              </w:rPr>
              <w:t xml:space="preserve"> </w:t>
            </w:r>
          </w:p>
          <w:p w14:paraId="60C414B5" w14:textId="77777777" w:rsidR="00556592" w:rsidRPr="007469A4" w:rsidRDefault="00622117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556592" w:rsidRPr="007469A4" w14:paraId="1B851A7F" w14:textId="77777777" w:rsidTr="00170EF3">
        <w:trPr>
          <w:gridAfter w:val="1"/>
          <w:wAfter w:w="15" w:type="pct"/>
          <w:trHeight w:val="2160"/>
        </w:trPr>
        <w:tc>
          <w:tcPr>
            <w:tcW w:w="1508" w:type="pct"/>
          </w:tcPr>
          <w:p w14:paraId="14AC4FF9" w14:textId="77777777" w:rsidR="00556592" w:rsidRPr="007469A4" w:rsidRDefault="00556592" w:rsidP="009C56A3">
            <w:pPr>
              <w:pStyle w:val="Style509"/>
              <w:spacing w:line="276" w:lineRule="auto"/>
              <w:jc w:val="left"/>
              <w:rPr>
                <w:bCs/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Дарунавир/Ритонавир</w:t>
            </w:r>
          </w:p>
          <w:p w14:paraId="3184CB04" w14:textId="77777777" w:rsidR="00556592" w:rsidRPr="007469A4" w:rsidRDefault="00556592" w:rsidP="009C56A3">
            <w:pPr>
              <w:pStyle w:val="Style509"/>
              <w:spacing w:line="276" w:lineRule="auto"/>
              <w:jc w:val="left"/>
              <w:rPr>
                <w:bCs/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(300</w:t>
            </w:r>
            <w:r w:rsidR="00D43628">
              <w:rPr>
                <w:bCs/>
                <w:sz w:val="22"/>
                <w:szCs w:val="22"/>
              </w:rPr>
              <w:t> </w:t>
            </w:r>
            <w:r w:rsidR="00960EEC" w:rsidRPr="007469A4">
              <w:rPr>
                <w:bCs/>
                <w:sz w:val="22"/>
                <w:szCs w:val="22"/>
              </w:rPr>
              <w:t>мг</w:t>
            </w:r>
            <w:r w:rsidRPr="007469A4">
              <w:rPr>
                <w:bCs/>
                <w:sz w:val="22"/>
                <w:szCs w:val="22"/>
              </w:rPr>
              <w:t>/100</w:t>
            </w:r>
            <w:r w:rsidR="00D43628">
              <w:rPr>
                <w:bCs/>
                <w:sz w:val="22"/>
                <w:szCs w:val="22"/>
              </w:rPr>
              <w:t> </w:t>
            </w:r>
            <w:r w:rsidR="00960EEC" w:rsidRPr="007469A4">
              <w:rPr>
                <w:bCs/>
                <w:sz w:val="22"/>
                <w:szCs w:val="22"/>
              </w:rPr>
              <w:t>мг</w:t>
            </w:r>
            <w:r w:rsidRPr="007469A4">
              <w:rPr>
                <w:bCs/>
                <w:sz w:val="22"/>
                <w:szCs w:val="22"/>
              </w:rPr>
              <w:t xml:space="preserve"> b.i.d.)</w:t>
            </w:r>
          </w:p>
        </w:tc>
        <w:tc>
          <w:tcPr>
            <w:tcW w:w="1589" w:type="pct"/>
          </w:tcPr>
          <w:p w14:paraId="4E6D1DD6" w14:textId="77777777" w:rsidR="00556592" w:rsidRPr="007469A4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Дарунавир</w:t>
            </w:r>
          </w:p>
          <w:p w14:paraId="4B1E7C39" w14:textId="77777777" w:rsidR="00556592" w:rsidRPr="007469A4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Нет существенного воздействия на пар</w:t>
            </w:r>
            <w:r w:rsidR="00D43628">
              <w:rPr>
                <w:sz w:val="22"/>
                <w:szCs w:val="22"/>
              </w:rPr>
              <w:t>аметры ФК дарунавира/ритонавира</w:t>
            </w:r>
          </w:p>
          <w:p w14:paraId="6B907C9B" w14:textId="77777777" w:rsidR="00556592" w:rsidRPr="007469A4" w:rsidRDefault="00D43628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Тенофовир</w:t>
            </w:r>
          </w:p>
          <w:p w14:paraId="210947B6" w14:textId="77777777" w:rsidR="00556592" w:rsidRPr="007469A4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↑ 22</w:t>
            </w:r>
            <w:r w:rsidR="00D43628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7C10DF44" w14:textId="77777777" w:rsidR="00556592" w:rsidRPr="007469A4" w:rsidRDefault="00556592" w:rsidP="009C56A3">
            <w:pPr>
              <w:pStyle w:val="Style177"/>
              <w:spacing w:after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37</w:t>
            </w:r>
            <w:r w:rsidR="00D43628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</w:tc>
        <w:tc>
          <w:tcPr>
            <w:tcW w:w="1888" w:type="pct"/>
            <w:gridSpan w:val="2"/>
          </w:tcPr>
          <w:p w14:paraId="2E521EDA" w14:textId="77777777" w:rsidR="00A8446B" w:rsidRDefault="00556592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Коррекции дозы не требуется. Увеличенная экспозиция тенофовира может усиливать связанные с тенофовиром нежелательные явления, включая патологию почек.</w:t>
            </w:r>
            <w:r w:rsidR="00D43628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Необходимо тщательно контролировать функцию почек</w:t>
            </w:r>
            <w:r w:rsidR="00622117" w:rsidRPr="007469A4">
              <w:rPr>
                <w:sz w:val="22"/>
                <w:szCs w:val="22"/>
              </w:rPr>
              <w:t xml:space="preserve"> </w:t>
            </w:r>
          </w:p>
          <w:p w14:paraId="1F766172" w14:textId="77777777" w:rsidR="00556592" w:rsidRPr="007469A4" w:rsidRDefault="00622117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556592" w:rsidRPr="007469A4" w14:paraId="755F40D2" w14:textId="77777777" w:rsidTr="00B40D16">
        <w:tc>
          <w:tcPr>
            <w:tcW w:w="5000" w:type="pct"/>
            <w:gridSpan w:val="5"/>
          </w:tcPr>
          <w:p w14:paraId="5C5649EF" w14:textId="77777777" w:rsidR="00556592" w:rsidRPr="007469A4" w:rsidRDefault="00556592" w:rsidP="009C56A3">
            <w:pPr>
              <w:spacing w:line="276" w:lineRule="auto"/>
              <w:rPr>
                <w:b/>
                <w:sz w:val="22"/>
                <w:szCs w:val="22"/>
              </w:rPr>
            </w:pPr>
            <w:r w:rsidRPr="007469A4">
              <w:rPr>
                <w:b/>
                <w:sz w:val="22"/>
                <w:szCs w:val="22"/>
              </w:rPr>
              <w:t>Нуклеозидные ингибиторы обратной транскриптазы</w:t>
            </w:r>
          </w:p>
        </w:tc>
      </w:tr>
      <w:tr w:rsidR="00556592" w:rsidRPr="007469A4" w14:paraId="43CE172A" w14:textId="77777777" w:rsidTr="00170EF3">
        <w:tc>
          <w:tcPr>
            <w:tcW w:w="1508" w:type="pct"/>
          </w:tcPr>
          <w:p w14:paraId="6246A0D0" w14:textId="77777777" w:rsidR="00556592" w:rsidRPr="007469A4" w:rsidRDefault="00556592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Диданозин</w:t>
            </w:r>
          </w:p>
        </w:tc>
        <w:tc>
          <w:tcPr>
            <w:tcW w:w="1596" w:type="pct"/>
            <w:gridSpan w:val="2"/>
          </w:tcPr>
          <w:p w14:paraId="4A943463" w14:textId="77777777" w:rsidR="00556592" w:rsidRPr="007469A4" w:rsidRDefault="00556592" w:rsidP="009C56A3">
            <w:pPr>
              <w:spacing w:line="276" w:lineRule="auto"/>
              <w:ind w:left="7" w:hanging="7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Одновременное применение тенофовир</w:t>
            </w:r>
            <w:r w:rsidR="00EC64FD">
              <w:rPr>
                <w:sz w:val="22"/>
                <w:szCs w:val="22"/>
              </w:rPr>
              <w:t>а и диданозина приводит к 40-60 </w:t>
            </w:r>
            <w:r w:rsidRPr="007469A4">
              <w:rPr>
                <w:sz w:val="22"/>
                <w:szCs w:val="22"/>
              </w:rPr>
              <w:t xml:space="preserve">% повышению системной экспозиции диданозина, что может увеличивать риск связанных с диданозином нежелательных явлений. Сообщалось о нечастых, иногда летальных, случаях </w:t>
            </w:r>
            <w:r w:rsidRPr="007469A4">
              <w:rPr>
                <w:sz w:val="22"/>
                <w:szCs w:val="22"/>
              </w:rPr>
              <w:lastRenderedPageBreak/>
              <w:t xml:space="preserve">панкреатита и лактоацидоза. Одновременное введение тенофовира и диданозина в дозе </w:t>
            </w:r>
            <w:r w:rsidR="002D1F49" w:rsidRPr="007469A4">
              <w:rPr>
                <w:sz w:val="22"/>
                <w:szCs w:val="22"/>
              </w:rPr>
              <w:t>400 </w:t>
            </w:r>
            <w:r w:rsidRPr="007469A4">
              <w:rPr>
                <w:sz w:val="22"/>
                <w:szCs w:val="22"/>
              </w:rPr>
              <w:t xml:space="preserve">мг в сутки было связано со значительным уменьшением количества клеток </w:t>
            </w:r>
            <w:r w:rsidRPr="007469A4">
              <w:rPr>
                <w:sz w:val="22"/>
                <w:szCs w:val="22"/>
                <w:lang w:val="en-US" w:eastAsia="en-US"/>
              </w:rPr>
              <w:t>CD</w:t>
            </w:r>
            <w:r w:rsidRPr="007469A4">
              <w:rPr>
                <w:sz w:val="22"/>
                <w:szCs w:val="22"/>
                <w:lang w:eastAsia="en-US"/>
              </w:rPr>
              <w:t xml:space="preserve">4, </w:t>
            </w:r>
            <w:r w:rsidRPr="007469A4">
              <w:rPr>
                <w:sz w:val="22"/>
                <w:szCs w:val="22"/>
              </w:rPr>
              <w:t xml:space="preserve">возможно, в связи с межклеточным взаимодействием, что повышает фосфорилированный (то есть активный) диданозин. Уменьшение дозировки диданозина до </w:t>
            </w:r>
            <w:r w:rsidR="002D1F49" w:rsidRPr="007469A4">
              <w:rPr>
                <w:sz w:val="22"/>
                <w:szCs w:val="22"/>
              </w:rPr>
              <w:t>250 </w:t>
            </w:r>
            <w:r w:rsidRPr="007469A4">
              <w:rPr>
                <w:sz w:val="22"/>
                <w:szCs w:val="22"/>
              </w:rPr>
              <w:t>мг, которая вводится вместе с тенофовиром, было связано с сообщениями о высокой частоте вирусологического неудачного лечения при нескольких исследованных комбина</w:t>
            </w:r>
            <w:r w:rsidR="00EC64FD">
              <w:rPr>
                <w:sz w:val="22"/>
                <w:szCs w:val="22"/>
              </w:rPr>
              <w:t>циях для лечения ВИЧ-1 инфекции</w:t>
            </w:r>
          </w:p>
        </w:tc>
        <w:tc>
          <w:tcPr>
            <w:tcW w:w="1896" w:type="pct"/>
            <w:gridSpan w:val="2"/>
          </w:tcPr>
          <w:p w14:paraId="32AA983A" w14:textId="77777777" w:rsidR="00A8446B" w:rsidRDefault="00556592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>Одновременное применение тенофовира и диданозина не рекомендуется</w:t>
            </w:r>
            <w:r w:rsidR="00622117" w:rsidRPr="007469A4">
              <w:rPr>
                <w:sz w:val="22"/>
                <w:szCs w:val="22"/>
              </w:rPr>
              <w:t xml:space="preserve"> </w:t>
            </w:r>
          </w:p>
          <w:p w14:paraId="559EAFE0" w14:textId="77777777" w:rsidR="00556592" w:rsidRPr="007469A4" w:rsidRDefault="00622117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556592" w:rsidRPr="007469A4" w14:paraId="2A0E7F0D" w14:textId="77777777" w:rsidTr="00170EF3">
        <w:tc>
          <w:tcPr>
            <w:tcW w:w="1508" w:type="pct"/>
          </w:tcPr>
          <w:p w14:paraId="545B8A96" w14:textId="77777777" w:rsidR="00556592" w:rsidRPr="007469A4" w:rsidRDefault="00556592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Адефовир</w:t>
            </w:r>
          </w:p>
        </w:tc>
        <w:tc>
          <w:tcPr>
            <w:tcW w:w="1596" w:type="pct"/>
            <w:gridSpan w:val="2"/>
          </w:tcPr>
          <w:p w14:paraId="56E07EA6" w14:textId="77777777" w:rsidR="00556592" w:rsidRPr="007469A4" w:rsidRDefault="00556592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 w:eastAsia="en-US"/>
              </w:rPr>
              <w:t xml:space="preserve">AUC: </w:t>
            </w:r>
            <w:r w:rsidRPr="007469A4">
              <w:rPr>
                <w:sz w:val="22"/>
                <w:szCs w:val="22"/>
              </w:rPr>
              <w:t>↔</w:t>
            </w:r>
          </w:p>
          <w:p w14:paraId="7D677E31" w14:textId="77777777" w:rsidR="00556592" w:rsidRPr="007469A4" w:rsidRDefault="00556592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</w:t>
            </w:r>
            <w:r w:rsidRPr="007469A4">
              <w:rPr>
                <w:bCs/>
                <w:sz w:val="22"/>
                <w:szCs w:val="22"/>
                <w:vertAlign w:val="subscript"/>
              </w:rPr>
              <w:t>ах</w:t>
            </w:r>
            <w:r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</w:tc>
        <w:tc>
          <w:tcPr>
            <w:tcW w:w="1896" w:type="pct"/>
            <w:gridSpan w:val="2"/>
          </w:tcPr>
          <w:p w14:paraId="0661207B" w14:textId="77777777" w:rsidR="00A8446B" w:rsidRDefault="00556592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 xml:space="preserve">Тенофовир </w:t>
            </w:r>
            <w:r w:rsidR="00227076" w:rsidRPr="007469A4">
              <w:rPr>
                <w:sz w:val="22"/>
                <w:szCs w:val="22"/>
              </w:rPr>
              <w:t>противопоказано</w:t>
            </w:r>
            <w:r w:rsidRPr="007469A4">
              <w:rPr>
                <w:sz w:val="22"/>
                <w:szCs w:val="22"/>
              </w:rPr>
              <w:t xml:space="preserve"> применять одновременно с адефовиром</w:t>
            </w:r>
            <w:r w:rsidR="00227076" w:rsidRPr="007469A4">
              <w:rPr>
                <w:sz w:val="22"/>
                <w:szCs w:val="22"/>
              </w:rPr>
              <w:t xml:space="preserve"> </w:t>
            </w:r>
          </w:p>
          <w:p w14:paraId="5727B9C4" w14:textId="77777777" w:rsidR="00556592" w:rsidRPr="007469A4" w:rsidRDefault="00227076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556592" w:rsidRPr="007469A4" w14:paraId="2EAF3CF4" w14:textId="77777777" w:rsidTr="00170EF3">
        <w:tc>
          <w:tcPr>
            <w:tcW w:w="1508" w:type="pct"/>
          </w:tcPr>
          <w:p w14:paraId="092CF051" w14:textId="77777777" w:rsidR="00556592" w:rsidRPr="007469A4" w:rsidRDefault="00556592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Энтекавир</w:t>
            </w:r>
          </w:p>
        </w:tc>
        <w:tc>
          <w:tcPr>
            <w:tcW w:w="1596" w:type="pct"/>
            <w:gridSpan w:val="2"/>
          </w:tcPr>
          <w:p w14:paraId="1C0BF7B2" w14:textId="77777777" w:rsidR="00556592" w:rsidRPr="007469A4" w:rsidRDefault="00556592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AUC:</w:t>
            </w:r>
            <w:r w:rsidRPr="007469A4">
              <w:rPr>
                <w:sz w:val="22"/>
                <w:szCs w:val="22"/>
                <w:lang w:val="en-US"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22A17D9" w14:textId="77777777" w:rsidR="00556592" w:rsidRPr="007469A4" w:rsidRDefault="00556592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</w:tc>
        <w:tc>
          <w:tcPr>
            <w:tcW w:w="1896" w:type="pct"/>
            <w:gridSpan w:val="2"/>
          </w:tcPr>
          <w:p w14:paraId="73E18B70" w14:textId="77777777" w:rsidR="00556592" w:rsidRPr="007469A4" w:rsidRDefault="00556592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Не было клинически значимых</w:t>
            </w:r>
            <w:r w:rsidR="002D1F49" w:rsidRPr="007469A4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фармакокинетических взаимодействий при одновременном применении тенофовира с энтекавиром</w:t>
            </w:r>
          </w:p>
        </w:tc>
      </w:tr>
      <w:tr w:rsidR="00227076" w:rsidRPr="007469A4" w14:paraId="187DCEBA" w14:textId="77777777" w:rsidTr="007469A4">
        <w:tc>
          <w:tcPr>
            <w:tcW w:w="5000" w:type="pct"/>
            <w:gridSpan w:val="5"/>
          </w:tcPr>
          <w:p w14:paraId="13C21A76" w14:textId="77777777" w:rsidR="00227076" w:rsidRPr="007469A4" w:rsidRDefault="00227076" w:rsidP="009C56A3">
            <w:pPr>
              <w:spacing w:line="276" w:lineRule="auto"/>
              <w:rPr>
                <w:b/>
                <w:sz w:val="22"/>
                <w:szCs w:val="22"/>
              </w:rPr>
            </w:pPr>
            <w:r w:rsidRPr="007469A4">
              <w:rPr>
                <w:b/>
                <w:sz w:val="22"/>
                <w:szCs w:val="22"/>
              </w:rPr>
              <w:t>Противовирусные препараты для лечения ХГС</w:t>
            </w:r>
          </w:p>
        </w:tc>
      </w:tr>
      <w:tr w:rsidR="00227076" w:rsidRPr="007469A4" w14:paraId="3E626513" w14:textId="77777777" w:rsidTr="00170EF3">
        <w:tc>
          <w:tcPr>
            <w:tcW w:w="1508" w:type="pct"/>
          </w:tcPr>
          <w:p w14:paraId="2D706F57" w14:textId="77777777" w:rsidR="00F97834" w:rsidRDefault="00182F37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Ледипасвир/Софосбувир (90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мг/400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F9783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="00B923DE"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="00B923DE"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</w:rPr>
              <w:t>)</w:t>
            </w:r>
            <w:r w:rsidR="00F97834">
              <w:rPr>
                <w:sz w:val="22"/>
                <w:szCs w:val="22"/>
              </w:rPr>
              <w:t> </w:t>
            </w:r>
            <w:r w:rsidR="00B923DE" w:rsidRPr="007469A4">
              <w:rPr>
                <w:sz w:val="22"/>
                <w:szCs w:val="22"/>
              </w:rPr>
              <w:t>+</w:t>
            </w:r>
          </w:p>
          <w:p w14:paraId="4D6C382B" w14:textId="77777777" w:rsidR="00F97834" w:rsidRDefault="00182F37" w:rsidP="00FC031E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Атазанавир/Ритонавир (300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F9783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./100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F9783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F9783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+</w:t>
            </w:r>
          </w:p>
          <w:p w14:paraId="4BB3A21C" w14:textId="77777777" w:rsidR="00227076" w:rsidRPr="007469A4" w:rsidRDefault="00182F37" w:rsidP="00FC031E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Тенофовира дизопроксила фумарат/Эмтрицитабин (300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мг/200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 xml:space="preserve">мг 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B923DE" w:rsidRPr="007469A4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96" w:type="pct"/>
            <w:gridSpan w:val="2"/>
          </w:tcPr>
          <w:p w14:paraId="455EF9DE" w14:textId="77777777" w:rsidR="003F5691" w:rsidRPr="007469A4" w:rsidRDefault="00F60999" w:rsidP="009C56A3">
            <w:pPr>
              <w:spacing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Ледипасвир</w:t>
            </w:r>
          </w:p>
          <w:p w14:paraId="67A4907D" w14:textId="77777777" w:rsidR="00F60999" w:rsidRPr="007469A4" w:rsidRDefault="00F609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↑ 96</w:t>
            </w:r>
            <w:r w:rsidR="00F97834">
              <w:rPr>
                <w:sz w:val="22"/>
                <w:szCs w:val="22"/>
              </w:rPr>
              <w:t> </w:t>
            </w:r>
            <w:r w:rsidR="00CB2639">
              <w:rPr>
                <w:sz w:val="22"/>
                <w:szCs w:val="22"/>
              </w:rPr>
              <w:t>%</w:t>
            </w:r>
          </w:p>
          <w:p w14:paraId="2F47F942" w14:textId="77777777" w:rsidR="00F60999" w:rsidRPr="007469A4" w:rsidRDefault="00F609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↑</w:t>
            </w:r>
            <w:r w:rsidR="002D1F49" w:rsidRPr="007469A4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68</w:t>
            </w:r>
            <w:r w:rsidR="00F9783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77321764" w14:textId="77777777" w:rsidR="00F60999" w:rsidRPr="007469A4" w:rsidRDefault="00F609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118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57B83CEE" w14:textId="77777777" w:rsidR="00F60999" w:rsidRPr="007469A4" w:rsidRDefault="00F97834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Софосбувир</w:t>
            </w:r>
          </w:p>
          <w:p w14:paraId="52065BFD" w14:textId="77777777" w:rsidR="00F60999" w:rsidRPr="007469A4" w:rsidRDefault="00F6099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="00B923DE"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="00B923DE"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5903D778" w14:textId="77777777" w:rsidR="00F60999" w:rsidRPr="007469A4" w:rsidRDefault="00B923DE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Pr="007469A4">
              <w:rPr>
                <w:bCs/>
                <w:sz w:val="22"/>
                <w:szCs w:val="22"/>
              </w:rPr>
              <w:t xml:space="preserve">: </w:t>
            </w:r>
            <w:r w:rsidRPr="007469A4">
              <w:rPr>
                <w:sz w:val="22"/>
                <w:szCs w:val="22"/>
              </w:rPr>
              <w:t>↔</w:t>
            </w:r>
          </w:p>
          <w:p w14:paraId="036DF947" w14:textId="77777777" w:rsidR="00F60999" w:rsidRPr="007469A4" w:rsidRDefault="00B923DE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GS</w:t>
            </w:r>
            <w:r w:rsidRPr="007469A4">
              <w:rPr>
                <w:sz w:val="22"/>
                <w:szCs w:val="22"/>
              </w:rPr>
              <w:t>-331007</w:t>
            </w:r>
            <w:r w:rsidRPr="007469A4">
              <w:rPr>
                <w:sz w:val="22"/>
                <w:szCs w:val="22"/>
                <w:vertAlign w:val="superscript"/>
              </w:rPr>
              <w:t>2</w:t>
            </w:r>
          </w:p>
          <w:p w14:paraId="2D00D4BD" w14:textId="77777777" w:rsidR="00F60999" w:rsidRPr="007469A4" w:rsidRDefault="00F6099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="00B923DE"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="00B923DE"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3EE1621" w14:textId="77777777" w:rsidR="00F60999" w:rsidRPr="007469A4" w:rsidRDefault="00B923DE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Pr="007469A4">
              <w:rPr>
                <w:bCs/>
                <w:sz w:val="22"/>
                <w:szCs w:val="22"/>
              </w:rPr>
              <w:t xml:space="preserve">: </w:t>
            </w:r>
            <w:r w:rsidRPr="007469A4">
              <w:rPr>
                <w:sz w:val="22"/>
                <w:szCs w:val="22"/>
              </w:rPr>
              <w:t>↔</w:t>
            </w:r>
          </w:p>
          <w:p w14:paraId="2FD39DB2" w14:textId="77777777" w:rsidR="00F60999" w:rsidRPr="007469A4" w:rsidRDefault="00F6099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42</w:t>
            </w:r>
            <w:r w:rsidR="00F9783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645587DC" w14:textId="77777777" w:rsidR="00F60999" w:rsidRPr="007469A4" w:rsidRDefault="00F97834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Атазанавир</w:t>
            </w:r>
          </w:p>
          <w:p w14:paraId="4049E6BA" w14:textId="77777777" w:rsidR="00F60999" w:rsidRPr="007469A4" w:rsidRDefault="00F6099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lastRenderedPageBreak/>
              <w:t>AUC</w:t>
            </w:r>
            <w:r w:rsidR="00B923DE"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="00B923DE"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6E25454F" w14:textId="77777777" w:rsidR="00F60999" w:rsidRPr="007469A4" w:rsidRDefault="00B923DE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Pr="007469A4">
              <w:rPr>
                <w:bCs/>
                <w:sz w:val="22"/>
                <w:szCs w:val="22"/>
              </w:rPr>
              <w:t xml:space="preserve">: </w:t>
            </w:r>
            <w:r w:rsidRPr="007469A4">
              <w:rPr>
                <w:sz w:val="22"/>
                <w:szCs w:val="22"/>
              </w:rPr>
              <w:t>↔</w:t>
            </w:r>
          </w:p>
          <w:p w14:paraId="26E0DC70" w14:textId="77777777" w:rsidR="00F60999" w:rsidRPr="007469A4" w:rsidRDefault="00F6099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63</w:t>
            </w:r>
            <w:r w:rsidR="00F9783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1B758E87" w14:textId="77777777" w:rsidR="00F60999" w:rsidRPr="007469A4" w:rsidRDefault="00E65A80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Ритонавир</w:t>
            </w:r>
          </w:p>
          <w:p w14:paraId="07E9A2B8" w14:textId="77777777" w:rsidR="00F60999" w:rsidRPr="007469A4" w:rsidRDefault="00F6099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="00B923DE"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="00B923DE"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29141FDF" w14:textId="77777777" w:rsidR="00F60999" w:rsidRPr="007469A4" w:rsidRDefault="00B923DE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Pr="007469A4">
              <w:rPr>
                <w:bCs/>
                <w:sz w:val="22"/>
                <w:szCs w:val="22"/>
              </w:rPr>
              <w:t xml:space="preserve">: </w:t>
            </w:r>
            <w:r w:rsidRPr="007469A4">
              <w:rPr>
                <w:sz w:val="22"/>
                <w:szCs w:val="22"/>
              </w:rPr>
              <w:t>↔</w:t>
            </w:r>
          </w:p>
          <w:p w14:paraId="04177C3E" w14:textId="77777777" w:rsidR="00F60999" w:rsidRPr="007469A4" w:rsidRDefault="00F6099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45</w:t>
            </w:r>
            <w:r w:rsidR="00E65A80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1405FBEA" w14:textId="77777777" w:rsidR="00F60999" w:rsidRPr="007469A4" w:rsidRDefault="00F60999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Эмтрицитабин</w:t>
            </w:r>
          </w:p>
          <w:p w14:paraId="449E0BFC" w14:textId="77777777" w:rsidR="00F60999" w:rsidRPr="007469A4" w:rsidRDefault="00F6099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="00B923DE"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="00B923DE"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7E3EA36D" w14:textId="77777777" w:rsidR="00F60999" w:rsidRPr="007469A4" w:rsidRDefault="00B923DE" w:rsidP="009C56A3">
            <w:pPr>
              <w:pStyle w:val="Style177"/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Pr="007469A4">
              <w:rPr>
                <w:bCs/>
                <w:sz w:val="22"/>
                <w:szCs w:val="22"/>
              </w:rPr>
              <w:t xml:space="preserve">: </w:t>
            </w:r>
            <w:r w:rsidRPr="007469A4">
              <w:rPr>
                <w:sz w:val="22"/>
                <w:szCs w:val="22"/>
              </w:rPr>
              <w:t>↔</w:t>
            </w:r>
          </w:p>
          <w:p w14:paraId="4410877B" w14:textId="77777777" w:rsidR="00F60999" w:rsidRPr="007469A4" w:rsidRDefault="00F609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492A4F54" w14:textId="77777777" w:rsidR="00F60999" w:rsidRPr="007469A4" w:rsidRDefault="00F60999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Тенофовир</w:t>
            </w:r>
          </w:p>
          <w:p w14:paraId="77321497" w14:textId="77777777" w:rsidR="00F60999" w:rsidRPr="007469A4" w:rsidRDefault="00F609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↔</w:t>
            </w:r>
          </w:p>
          <w:p w14:paraId="574CE535" w14:textId="77777777" w:rsidR="00F60999" w:rsidRPr="007469A4" w:rsidRDefault="00F609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</w:t>
            </w:r>
            <w:r w:rsidR="008C3AA5" w:rsidRPr="007469A4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↑ 47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3C0201F0" w14:textId="77777777" w:rsidR="00F60999" w:rsidRPr="007469A4" w:rsidRDefault="00F60999" w:rsidP="009C56A3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47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</w:tc>
        <w:tc>
          <w:tcPr>
            <w:tcW w:w="1896" w:type="pct"/>
            <w:gridSpan w:val="2"/>
          </w:tcPr>
          <w:p w14:paraId="34112C4E" w14:textId="77777777" w:rsidR="00227076" w:rsidRPr="007469A4" w:rsidRDefault="00003D7B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>Повышение концентрации тенофовира в плазме</w:t>
            </w:r>
            <w:r w:rsidR="00D11C8B">
              <w:rPr>
                <w:sz w:val="22"/>
                <w:szCs w:val="22"/>
              </w:rPr>
              <w:t xml:space="preserve"> крови</w:t>
            </w:r>
            <w:r w:rsidRPr="007469A4">
              <w:rPr>
                <w:sz w:val="22"/>
                <w:szCs w:val="22"/>
              </w:rPr>
              <w:t xml:space="preserve"> при совместном применении тенофовира дизопроксила фумарата, препаратов ледипасвир/софосбувир и атазанавир/ритонавир может усилить нежелательные реакции на тенофовира дизопроксила фумарат, </w:t>
            </w:r>
            <w:r w:rsidR="002840C4" w:rsidRPr="007469A4">
              <w:rPr>
                <w:sz w:val="22"/>
                <w:szCs w:val="22"/>
              </w:rPr>
              <w:t>в т.ч.</w:t>
            </w:r>
            <w:r w:rsidRPr="007469A4">
              <w:rPr>
                <w:sz w:val="22"/>
                <w:szCs w:val="22"/>
              </w:rPr>
              <w:t xml:space="preserve"> нарушения со стороны почек и мочевыводящих путей. Безопасность тенофовира дизопроксила фумарата при совместном применении с препаратом ледипасвир/софосбувир </w:t>
            </w:r>
            <w:r w:rsidRPr="007469A4">
              <w:rPr>
                <w:sz w:val="22"/>
                <w:szCs w:val="22"/>
              </w:rPr>
              <w:lastRenderedPageBreak/>
              <w:t>и фармакокине</w:t>
            </w:r>
            <w:r w:rsidR="009C56A3">
              <w:rPr>
                <w:sz w:val="22"/>
                <w:szCs w:val="22"/>
              </w:rPr>
              <w:t xml:space="preserve">тическим усилителем (бустером, </w:t>
            </w:r>
            <w:r w:rsidRPr="007469A4">
              <w:rPr>
                <w:sz w:val="22"/>
                <w:szCs w:val="22"/>
              </w:rPr>
              <w:t>например, ритонавиром или кобицистатом) не установлена.</w:t>
            </w:r>
          </w:p>
          <w:p w14:paraId="11DD7731" w14:textId="77777777" w:rsidR="00A8446B" w:rsidRDefault="00003D7B" w:rsidP="009C56A3">
            <w:pPr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 xml:space="preserve">Это сочетание следует использовать с осторожностью при частом контроле функции почек, если отсутствуют другие варианты лечения </w:t>
            </w:r>
          </w:p>
          <w:p w14:paraId="783257E2" w14:textId="77777777" w:rsidR="00003D7B" w:rsidRPr="007469A4" w:rsidRDefault="00003D7B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227076" w:rsidRPr="007469A4" w14:paraId="5C0991DE" w14:textId="77777777" w:rsidTr="00170EF3">
        <w:tc>
          <w:tcPr>
            <w:tcW w:w="1508" w:type="pct"/>
          </w:tcPr>
          <w:p w14:paraId="5FCC5A00" w14:textId="77777777" w:rsidR="00E65A80" w:rsidRDefault="00182F37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>Ледипасвир/Софосбувир (90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мг/400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E65A80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E65A80">
              <w:rPr>
                <w:sz w:val="22"/>
                <w:szCs w:val="22"/>
              </w:rPr>
              <w:t> </w:t>
            </w:r>
            <w:r w:rsidR="00170EF3">
              <w:rPr>
                <w:sz w:val="22"/>
                <w:szCs w:val="22"/>
              </w:rPr>
              <w:t>+</w:t>
            </w:r>
          </w:p>
          <w:p w14:paraId="3DA59282" w14:textId="77777777" w:rsidR="00F16BB3" w:rsidRDefault="00182F37" w:rsidP="00F30F2B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Дарунавир/Ритонавир (800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E65A80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./100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F16BB3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F16BB3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+</w:t>
            </w:r>
          </w:p>
          <w:p w14:paraId="13F25D45" w14:textId="77777777" w:rsidR="00227076" w:rsidRPr="007469A4" w:rsidRDefault="00182F37" w:rsidP="00F30F2B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Тенофовира дизопроксила фумарат/Эмтрицитабин (300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мг/200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F16BB3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Pr="007469A4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96" w:type="pct"/>
            <w:gridSpan w:val="2"/>
          </w:tcPr>
          <w:p w14:paraId="53F0E3F3" w14:textId="77777777" w:rsidR="003A1FB6" w:rsidRPr="007469A4" w:rsidRDefault="003A1FB6" w:rsidP="009C56A3">
            <w:pPr>
              <w:spacing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Ледипасвир</w:t>
            </w:r>
          </w:p>
          <w:p w14:paraId="5B65D0D8" w14:textId="77777777" w:rsidR="003A1FB6" w:rsidRPr="007469A4" w:rsidRDefault="003A1FB6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↔</w:t>
            </w:r>
          </w:p>
          <w:p w14:paraId="6C09DA10" w14:textId="77777777" w:rsidR="003A1FB6" w:rsidRPr="007469A4" w:rsidRDefault="003A1FB6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↔</w:t>
            </w:r>
          </w:p>
          <w:p w14:paraId="50FF91B8" w14:textId="77777777" w:rsidR="003A1FB6" w:rsidRPr="007469A4" w:rsidRDefault="003A1FB6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77862E0F" w14:textId="77777777" w:rsidR="003A1FB6" w:rsidRPr="007469A4" w:rsidRDefault="00F16BB3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Софосбувир</w:t>
            </w:r>
          </w:p>
          <w:p w14:paraId="71A1FD11" w14:textId="77777777" w:rsidR="003A1FB6" w:rsidRPr="007469A4" w:rsidRDefault="003A1FB6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="00B923DE"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="00B923DE" w:rsidRPr="007469A4">
              <w:rPr>
                <w:sz w:val="22"/>
                <w:szCs w:val="22"/>
                <w:lang w:eastAsia="en-US"/>
              </w:rPr>
              <w:t xml:space="preserve"> </w:t>
            </w:r>
            <w:r w:rsidR="00D34BA1" w:rsidRPr="007469A4">
              <w:rPr>
                <w:sz w:val="22"/>
                <w:szCs w:val="22"/>
              </w:rPr>
              <w:t>↓ 27</w:t>
            </w:r>
            <w:r w:rsidR="002D1F49" w:rsidRPr="007469A4">
              <w:rPr>
                <w:sz w:val="22"/>
                <w:szCs w:val="22"/>
              </w:rPr>
              <w:t> </w:t>
            </w:r>
            <w:r w:rsidR="00D34BA1" w:rsidRPr="007469A4">
              <w:rPr>
                <w:sz w:val="22"/>
                <w:szCs w:val="22"/>
              </w:rPr>
              <w:t>%</w:t>
            </w:r>
          </w:p>
          <w:p w14:paraId="6E766CAF" w14:textId="77777777" w:rsidR="003A1FB6" w:rsidRPr="007469A4" w:rsidRDefault="003A1FB6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="00D34BA1" w:rsidRPr="007469A4">
              <w:rPr>
                <w:sz w:val="22"/>
                <w:szCs w:val="22"/>
              </w:rPr>
              <w:t>↓ 37</w:t>
            </w:r>
            <w:r w:rsidR="002D1F49" w:rsidRPr="007469A4">
              <w:rPr>
                <w:sz w:val="22"/>
                <w:szCs w:val="22"/>
              </w:rPr>
              <w:t> </w:t>
            </w:r>
            <w:r w:rsidR="00D34BA1" w:rsidRPr="007469A4">
              <w:rPr>
                <w:sz w:val="22"/>
                <w:szCs w:val="22"/>
              </w:rPr>
              <w:t>%</w:t>
            </w:r>
          </w:p>
          <w:p w14:paraId="50346AFC" w14:textId="77777777" w:rsidR="003A1FB6" w:rsidRPr="007469A4" w:rsidRDefault="003A1FB6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GS</w:t>
            </w:r>
            <w:r w:rsidRPr="007469A4">
              <w:rPr>
                <w:sz w:val="22"/>
                <w:szCs w:val="22"/>
              </w:rPr>
              <w:t>-331007</w:t>
            </w:r>
            <w:r w:rsidRPr="007469A4">
              <w:rPr>
                <w:sz w:val="22"/>
                <w:szCs w:val="22"/>
                <w:vertAlign w:val="superscript"/>
              </w:rPr>
              <w:t>2</w:t>
            </w:r>
          </w:p>
          <w:p w14:paraId="05F937AB" w14:textId="77777777" w:rsidR="003A1FB6" w:rsidRPr="007469A4" w:rsidRDefault="003A1FB6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="00B923DE"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="00B923DE"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44D940BC" w14:textId="77777777" w:rsidR="003A1FB6" w:rsidRPr="007469A4" w:rsidRDefault="003A1FB6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5D954D2D" w14:textId="77777777" w:rsidR="003A1FB6" w:rsidRPr="007469A4" w:rsidRDefault="003A1FB6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 xml:space="preserve">: </w:t>
            </w:r>
            <w:r w:rsidR="00D34BA1" w:rsidRPr="007469A4">
              <w:rPr>
                <w:sz w:val="22"/>
                <w:szCs w:val="22"/>
              </w:rPr>
              <w:t>↔</w:t>
            </w:r>
          </w:p>
          <w:p w14:paraId="43BEB23B" w14:textId="77777777" w:rsidR="003A1FB6" w:rsidRPr="007469A4" w:rsidRDefault="00D34BA1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Дарунавир</w:t>
            </w:r>
          </w:p>
          <w:p w14:paraId="05C85715" w14:textId="77777777" w:rsidR="003A1FB6" w:rsidRPr="007469A4" w:rsidRDefault="003A1FB6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71C16557" w14:textId="77777777" w:rsidR="003A1FB6" w:rsidRPr="007469A4" w:rsidRDefault="003A1FB6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2359BAF6" w14:textId="77777777" w:rsidR="003A1FB6" w:rsidRPr="007469A4" w:rsidRDefault="003A1FB6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 xml:space="preserve">: </w:t>
            </w:r>
            <w:r w:rsidR="00D34BA1" w:rsidRPr="007469A4">
              <w:rPr>
                <w:sz w:val="22"/>
                <w:szCs w:val="22"/>
              </w:rPr>
              <w:t>↔</w:t>
            </w:r>
          </w:p>
          <w:p w14:paraId="446628B0" w14:textId="77777777" w:rsidR="003A1FB6" w:rsidRPr="007469A4" w:rsidRDefault="00F16BB3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Ритонавир</w:t>
            </w:r>
          </w:p>
          <w:p w14:paraId="1E33C00E" w14:textId="77777777" w:rsidR="003A1FB6" w:rsidRPr="007469A4" w:rsidRDefault="003A1FB6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425BA3F1" w14:textId="77777777" w:rsidR="003A1FB6" w:rsidRPr="007469A4" w:rsidRDefault="003A1FB6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50AD19A2" w14:textId="77777777" w:rsidR="003A1FB6" w:rsidRPr="007469A4" w:rsidRDefault="003A1FB6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4</w:t>
            </w:r>
            <w:r w:rsidR="00D34BA1" w:rsidRPr="007469A4">
              <w:rPr>
                <w:sz w:val="22"/>
                <w:szCs w:val="22"/>
              </w:rPr>
              <w:t>8</w:t>
            </w:r>
            <w:r w:rsidR="00F16BB3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1BBD47D3" w14:textId="77777777" w:rsidR="003A1FB6" w:rsidRPr="007469A4" w:rsidRDefault="00F16BB3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Эмтрицитабин</w:t>
            </w:r>
          </w:p>
          <w:p w14:paraId="477939AD" w14:textId="77777777" w:rsidR="003A1FB6" w:rsidRPr="007469A4" w:rsidRDefault="003A1FB6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0A67B64" w14:textId="77777777" w:rsidR="003A1FB6" w:rsidRPr="007469A4" w:rsidRDefault="003A1FB6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5DD86120" w14:textId="77777777" w:rsidR="003A1FB6" w:rsidRPr="007469A4" w:rsidRDefault="003A1FB6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5112F27F" w14:textId="77777777" w:rsidR="003A1FB6" w:rsidRPr="007469A4" w:rsidRDefault="00F16BB3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Тенофовир</w:t>
            </w:r>
          </w:p>
          <w:p w14:paraId="5EEDE53A" w14:textId="77777777" w:rsidR="003A1FB6" w:rsidRPr="007469A4" w:rsidRDefault="003A1FB6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</w:t>
            </w:r>
            <w:r w:rsidR="00D34BA1" w:rsidRPr="007469A4">
              <w:rPr>
                <w:sz w:val="22"/>
                <w:szCs w:val="22"/>
              </w:rPr>
              <w:t xml:space="preserve"> ↑ 50</w:t>
            </w:r>
            <w:r w:rsidR="002D1F49" w:rsidRPr="007469A4">
              <w:rPr>
                <w:sz w:val="22"/>
                <w:szCs w:val="22"/>
              </w:rPr>
              <w:t> </w:t>
            </w:r>
            <w:r w:rsidR="00D34BA1" w:rsidRPr="007469A4">
              <w:rPr>
                <w:sz w:val="22"/>
                <w:szCs w:val="22"/>
              </w:rPr>
              <w:t>%</w:t>
            </w:r>
          </w:p>
          <w:p w14:paraId="677FBBE8" w14:textId="77777777" w:rsidR="003A1FB6" w:rsidRPr="007469A4" w:rsidRDefault="003A1FB6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</w:t>
            </w:r>
            <w:r w:rsidR="00D34BA1" w:rsidRPr="007469A4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 xml:space="preserve">↑ </w:t>
            </w:r>
            <w:r w:rsidR="00D34BA1" w:rsidRPr="007469A4">
              <w:rPr>
                <w:sz w:val="22"/>
                <w:szCs w:val="22"/>
              </w:rPr>
              <w:t>64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2A58AB51" w14:textId="77777777" w:rsidR="00227076" w:rsidRDefault="003A1FB6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 xml:space="preserve">: ↑ </w:t>
            </w:r>
            <w:r w:rsidR="00D34BA1" w:rsidRPr="007469A4">
              <w:rPr>
                <w:sz w:val="22"/>
                <w:szCs w:val="22"/>
              </w:rPr>
              <w:t>59</w:t>
            </w:r>
            <w:r w:rsidR="00F16BB3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26B11BD1" w14:textId="77777777" w:rsidR="00CB2639" w:rsidRPr="007469A4" w:rsidRDefault="00CB2639" w:rsidP="009C56A3">
            <w:pPr>
              <w:spacing w:line="276" w:lineRule="auto"/>
              <w:rPr>
                <w:spacing w:val="-20"/>
                <w:sz w:val="22"/>
                <w:szCs w:val="22"/>
                <w:lang w:eastAsia="en-US"/>
              </w:rPr>
            </w:pPr>
          </w:p>
        </w:tc>
        <w:tc>
          <w:tcPr>
            <w:tcW w:w="1896" w:type="pct"/>
            <w:gridSpan w:val="2"/>
          </w:tcPr>
          <w:p w14:paraId="7384EF26" w14:textId="77777777" w:rsidR="00634185" w:rsidRPr="007469A4" w:rsidRDefault="00634185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>Повышение концентрации тенофовира в плазме</w:t>
            </w:r>
            <w:r w:rsidR="00D11C8B">
              <w:rPr>
                <w:sz w:val="22"/>
                <w:szCs w:val="22"/>
              </w:rPr>
              <w:t xml:space="preserve"> крови</w:t>
            </w:r>
            <w:r w:rsidRPr="007469A4">
              <w:rPr>
                <w:sz w:val="22"/>
                <w:szCs w:val="22"/>
              </w:rPr>
              <w:t xml:space="preserve"> при совместном применении тенофовира дизопроксила фумарата, препаратов ледипасвир/софосбувир и дарунавир/ритонавир может усилить нежелательные реакции на тенофовира дизопроксила фумарат, </w:t>
            </w:r>
            <w:r w:rsidR="002840C4" w:rsidRPr="007469A4">
              <w:rPr>
                <w:sz w:val="22"/>
                <w:szCs w:val="22"/>
              </w:rPr>
              <w:t>в т.ч.</w:t>
            </w:r>
            <w:r w:rsidRPr="007469A4">
              <w:rPr>
                <w:sz w:val="22"/>
                <w:szCs w:val="22"/>
              </w:rPr>
              <w:t xml:space="preserve"> нарушения со стороны почек и мочевыводящих путей. Безопасность тенофовира дизопроксила фумарата при совместном применении с препаратом ледипасвир/софосбувир и бустером (например, ритонавиром или кобицистатом) не установлена.</w:t>
            </w:r>
          </w:p>
          <w:p w14:paraId="4DD776EC" w14:textId="77777777" w:rsidR="00A8446B" w:rsidRDefault="00634185" w:rsidP="009C56A3">
            <w:pPr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 xml:space="preserve">Это сочетание следует использовать с осторожностью при частом контроле функции почек, если отсутствуют другие варианты лечения </w:t>
            </w:r>
          </w:p>
          <w:p w14:paraId="5DFA07C9" w14:textId="77777777" w:rsidR="00227076" w:rsidRPr="007469A4" w:rsidRDefault="00634185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227076" w:rsidRPr="007469A4" w14:paraId="15298CF5" w14:textId="77777777" w:rsidTr="00170EF3">
        <w:tc>
          <w:tcPr>
            <w:tcW w:w="1508" w:type="pct"/>
          </w:tcPr>
          <w:p w14:paraId="762DE868" w14:textId="77777777" w:rsidR="00F16BB3" w:rsidRDefault="00182F37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Ледипасвир/Софосбувир (90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мг/400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F16BB3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F16BB3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+</w:t>
            </w:r>
          </w:p>
          <w:p w14:paraId="5A39DA29" w14:textId="77777777" w:rsidR="00227076" w:rsidRPr="007469A4" w:rsidRDefault="00182F37" w:rsidP="00F30F2B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Тенофовира дизопроксила фумарат/Эмтрицитабин/</w:t>
            </w:r>
            <w:r w:rsidR="00F16BB3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Эфавиренз (300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мг/200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мг/600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F16BB3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</w:p>
        </w:tc>
        <w:tc>
          <w:tcPr>
            <w:tcW w:w="1596" w:type="pct"/>
            <w:gridSpan w:val="2"/>
          </w:tcPr>
          <w:p w14:paraId="787344D0" w14:textId="77777777" w:rsidR="00D34BA1" w:rsidRPr="007469A4" w:rsidRDefault="00D34BA1" w:rsidP="009C56A3">
            <w:pPr>
              <w:spacing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Ледипасвир</w:t>
            </w:r>
          </w:p>
          <w:p w14:paraId="7923CB4E" w14:textId="77777777" w:rsidR="00D34BA1" w:rsidRPr="007469A4" w:rsidRDefault="00D34BA1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↓</w:t>
            </w:r>
            <w:r w:rsidR="00B923DE" w:rsidRPr="007469A4">
              <w:rPr>
                <w:sz w:val="22"/>
                <w:szCs w:val="22"/>
              </w:rPr>
              <w:t xml:space="preserve"> 34</w:t>
            </w:r>
            <w:r w:rsidR="002D1F49" w:rsidRPr="007469A4">
              <w:rPr>
                <w:sz w:val="22"/>
                <w:szCs w:val="22"/>
              </w:rPr>
              <w:t> </w:t>
            </w:r>
            <w:r w:rsidR="00B923DE" w:rsidRPr="007469A4">
              <w:rPr>
                <w:sz w:val="22"/>
                <w:szCs w:val="22"/>
              </w:rPr>
              <w:t>%</w:t>
            </w:r>
          </w:p>
          <w:p w14:paraId="6D3B7754" w14:textId="77777777" w:rsidR="00D34BA1" w:rsidRPr="007469A4" w:rsidRDefault="00D34BA1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↓ 34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1D5DC56F" w14:textId="77777777" w:rsidR="00D34BA1" w:rsidRPr="007469A4" w:rsidRDefault="00D34BA1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↓ 34</w:t>
            </w:r>
            <w:r w:rsidR="002D1F49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316BE6CD" w14:textId="77777777" w:rsidR="00D34BA1" w:rsidRPr="007469A4" w:rsidRDefault="00F16BB3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Софосбувир</w:t>
            </w:r>
          </w:p>
          <w:p w14:paraId="13821826" w14:textId="77777777" w:rsidR="00D34BA1" w:rsidRPr="007469A4" w:rsidRDefault="00D34BA1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00E51CD6" w14:textId="77777777" w:rsidR="00D34BA1" w:rsidRPr="007469A4" w:rsidRDefault="00D34BA1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708FE59A" w14:textId="77777777" w:rsidR="00D34BA1" w:rsidRPr="007469A4" w:rsidRDefault="00D34BA1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GS</w:t>
            </w:r>
            <w:r w:rsidRPr="007469A4">
              <w:rPr>
                <w:sz w:val="22"/>
                <w:szCs w:val="22"/>
              </w:rPr>
              <w:t>-331007</w:t>
            </w:r>
            <w:r w:rsidRPr="007469A4">
              <w:rPr>
                <w:sz w:val="22"/>
                <w:szCs w:val="22"/>
                <w:vertAlign w:val="superscript"/>
              </w:rPr>
              <w:t>2</w:t>
            </w:r>
          </w:p>
          <w:p w14:paraId="5B683710" w14:textId="77777777" w:rsidR="00D34BA1" w:rsidRPr="007469A4" w:rsidRDefault="00D34BA1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48153867" w14:textId="77777777" w:rsidR="00D34BA1" w:rsidRPr="007469A4" w:rsidRDefault="00D34BA1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7121AE38" w14:textId="77777777" w:rsidR="00D34BA1" w:rsidRPr="007469A4" w:rsidRDefault="00D34BA1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34257C47" w14:textId="77777777" w:rsidR="00D34BA1" w:rsidRPr="007469A4" w:rsidRDefault="00F16BB3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Эфавиренз</w:t>
            </w:r>
          </w:p>
          <w:p w14:paraId="1D1D72DB" w14:textId="77777777" w:rsidR="00D34BA1" w:rsidRPr="007469A4" w:rsidRDefault="00D34BA1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0DCC04D8" w14:textId="77777777" w:rsidR="00D34BA1" w:rsidRPr="007469A4" w:rsidRDefault="00D34BA1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66E2784E" w14:textId="77777777" w:rsidR="00D34BA1" w:rsidRPr="007469A4" w:rsidRDefault="00D34BA1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192E3E20" w14:textId="77777777" w:rsidR="00D34BA1" w:rsidRPr="007469A4" w:rsidRDefault="00F16BB3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Эмтрицитабин</w:t>
            </w:r>
          </w:p>
          <w:p w14:paraId="1E1219C9" w14:textId="77777777" w:rsidR="00D34BA1" w:rsidRPr="007469A4" w:rsidRDefault="00D34BA1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3773E46D" w14:textId="77777777" w:rsidR="00D34BA1" w:rsidRPr="007469A4" w:rsidRDefault="00D34BA1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740EEA1C" w14:textId="77777777" w:rsidR="00D34BA1" w:rsidRPr="007469A4" w:rsidRDefault="00D34BA1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7B381D11" w14:textId="77777777" w:rsidR="00D34BA1" w:rsidRPr="007469A4" w:rsidRDefault="00F16BB3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Тенофовир</w:t>
            </w:r>
          </w:p>
          <w:p w14:paraId="32C020C5" w14:textId="77777777" w:rsidR="00D34BA1" w:rsidRPr="007469A4" w:rsidRDefault="00D34BA1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↑ 98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0FB5E855" w14:textId="77777777" w:rsidR="00D34BA1" w:rsidRPr="007469A4" w:rsidRDefault="00D34BA1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↑ 79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509EB249" w14:textId="77777777" w:rsidR="00227076" w:rsidRPr="007469A4" w:rsidRDefault="00D34BA1" w:rsidP="009C56A3">
            <w:pPr>
              <w:spacing w:after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163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</w:tc>
        <w:tc>
          <w:tcPr>
            <w:tcW w:w="1896" w:type="pct"/>
            <w:gridSpan w:val="2"/>
          </w:tcPr>
          <w:p w14:paraId="732A7734" w14:textId="77777777" w:rsidR="00A8446B" w:rsidRDefault="007C094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 xml:space="preserve">Коррекция дозы не рекомендуется. Повышение экспозиции тенофовира может усилить нежелательные реакции на тенофовира дизопроксила фумарат, </w:t>
            </w:r>
            <w:r w:rsidR="002840C4" w:rsidRPr="007469A4">
              <w:rPr>
                <w:sz w:val="22"/>
                <w:szCs w:val="22"/>
              </w:rPr>
              <w:t>в т.ч.</w:t>
            </w:r>
            <w:r w:rsidRPr="007469A4">
              <w:rPr>
                <w:sz w:val="22"/>
                <w:szCs w:val="22"/>
              </w:rPr>
              <w:t xml:space="preserve"> нарушения со стороны почек и мочевыводящих путей. Следует тщательно следить за функцией почек </w:t>
            </w:r>
          </w:p>
          <w:p w14:paraId="3F2BFA2E" w14:textId="77777777" w:rsidR="00227076" w:rsidRPr="007469A4" w:rsidRDefault="007C094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227076" w:rsidRPr="007469A4" w14:paraId="62B947B9" w14:textId="77777777" w:rsidTr="00170EF3">
        <w:tc>
          <w:tcPr>
            <w:tcW w:w="1508" w:type="pct"/>
          </w:tcPr>
          <w:p w14:paraId="76114919" w14:textId="77777777" w:rsidR="00CB2639" w:rsidRDefault="00182F37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Ледипасвир/Софосбувир (90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мг/400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CB2639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CB2639">
              <w:rPr>
                <w:sz w:val="22"/>
                <w:szCs w:val="22"/>
              </w:rPr>
              <w:t> </w:t>
            </w:r>
            <w:r w:rsidR="00170EF3">
              <w:rPr>
                <w:sz w:val="22"/>
                <w:szCs w:val="22"/>
              </w:rPr>
              <w:t>+</w:t>
            </w:r>
          </w:p>
          <w:p w14:paraId="102E49D5" w14:textId="77777777" w:rsidR="00227076" w:rsidRPr="007469A4" w:rsidRDefault="00182F37" w:rsidP="00F30F2B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Рилпивирин/Тенофовира дизопроксила фумарат/</w:t>
            </w:r>
            <w:r w:rsidR="00CB2639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Эмтрицитабин (25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мг/300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мг/200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CB2639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</w:p>
        </w:tc>
        <w:tc>
          <w:tcPr>
            <w:tcW w:w="1596" w:type="pct"/>
            <w:gridSpan w:val="2"/>
          </w:tcPr>
          <w:p w14:paraId="5AD32CB2" w14:textId="77777777" w:rsidR="00333113" w:rsidRPr="007469A4" w:rsidRDefault="00333113" w:rsidP="009C56A3">
            <w:pPr>
              <w:spacing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Ледипасвир</w:t>
            </w:r>
          </w:p>
          <w:p w14:paraId="72668AF8" w14:textId="77777777" w:rsidR="00333113" w:rsidRPr="007469A4" w:rsidRDefault="00333113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↔</w:t>
            </w:r>
          </w:p>
          <w:p w14:paraId="62EE31EB" w14:textId="77777777" w:rsidR="00333113" w:rsidRPr="007469A4" w:rsidRDefault="00333113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↔</w:t>
            </w:r>
          </w:p>
          <w:p w14:paraId="66FDFEE0" w14:textId="77777777" w:rsidR="00333113" w:rsidRPr="007469A4" w:rsidRDefault="00333113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3927D6E7" w14:textId="77777777" w:rsidR="00333113" w:rsidRPr="007469A4" w:rsidRDefault="00CB2639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Софосбувир</w:t>
            </w:r>
          </w:p>
          <w:p w14:paraId="486C3B9A" w14:textId="77777777" w:rsidR="00333113" w:rsidRPr="007469A4" w:rsidRDefault="00333113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7B375B0F" w14:textId="77777777" w:rsidR="00333113" w:rsidRPr="007469A4" w:rsidRDefault="00333113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5AD3FAB" w14:textId="77777777" w:rsidR="00333113" w:rsidRPr="007469A4" w:rsidRDefault="00333113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GS</w:t>
            </w:r>
            <w:r w:rsidRPr="007469A4">
              <w:rPr>
                <w:sz w:val="22"/>
                <w:szCs w:val="22"/>
              </w:rPr>
              <w:t>-331007</w:t>
            </w:r>
            <w:r w:rsidRPr="007469A4">
              <w:rPr>
                <w:sz w:val="22"/>
                <w:szCs w:val="22"/>
                <w:vertAlign w:val="superscript"/>
              </w:rPr>
              <w:t>2</w:t>
            </w:r>
          </w:p>
          <w:p w14:paraId="32704848" w14:textId="77777777" w:rsidR="00333113" w:rsidRPr="007469A4" w:rsidRDefault="00333113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891BEBC" w14:textId="77777777" w:rsidR="00333113" w:rsidRPr="007469A4" w:rsidRDefault="00333113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2A4EFE33" w14:textId="77777777" w:rsidR="00333113" w:rsidRPr="007469A4" w:rsidRDefault="00333113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337AC471" w14:textId="77777777" w:rsidR="00333113" w:rsidRPr="007469A4" w:rsidRDefault="00CB2639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Эмтрицитабин</w:t>
            </w:r>
          </w:p>
          <w:p w14:paraId="07CEFBB2" w14:textId="77777777" w:rsidR="00333113" w:rsidRPr="007469A4" w:rsidRDefault="00333113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2A9A8A92" w14:textId="77777777" w:rsidR="00333113" w:rsidRPr="007469A4" w:rsidRDefault="00333113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05C2D1A5" w14:textId="77777777" w:rsidR="00333113" w:rsidRPr="007469A4" w:rsidRDefault="00333113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1DF148D0" w14:textId="77777777" w:rsidR="00333113" w:rsidRPr="007469A4" w:rsidRDefault="00CB2639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Рилпивирин</w:t>
            </w:r>
          </w:p>
          <w:p w14:paraId="4C830AEF" w14:textId="77777777" w:rsidR="00333113" w:rsidRPr="007469A4" w:rsidRDefault="00333113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lastRenderedPageBreak/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5A475594" w14:textId="77777777" w:rsidR="00333113" w:rsidRPr="007469A4" w:rsidRDefault="00333113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7DAAF809" w14:textId="77777777" w:rsidR="00333113" w:rsidRPr="007469A4" w:rsidRDefault="00333113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22FA7957" w14:textId="77777777" w:rsidR="00333113" w:rsidRPr="007469A4" w:rsidRDefault="00CB2639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Тенофовир</w:t>
            </w:r>
          </w:p>
          <w:p w14:paraId="7E0DD30C" w14:textId="77777777" w:rsidR="00333113" w:rsidRPr="007469A4" w:rsidRDefault="00333113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↑ 40</w:t>
            </w:r>
            <w:r w:rsidR="00CB2639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73666865" w14:textId="77777777" w:rsidR="00333113" w:rsidRPr="007469A4" w:rsidRDefault="00333113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↔</w:t>
            </w:r>
          </w:p>
          <w:p w14:paraId="3ABFE068" w14:textId="77777777" w:rsidR="00227076" w:rsidRPr="007469A4" w:rsidRDefault="00333113" w:rsidP="009C56A3">
            <w:pPr>
              <w:spacing w:after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91</w:t>
            </w:r>
            <w:r w:rsidR="00CB2639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</w:tc>
        <w:tc>
          <w:tcPr>
            <w:tcW w:w="1896" w:type="pct"/>
            <w:gridSpan w:val="2"/>
          </w:tcPr>
          <w:p w14:paraId="6E10B70B" w14:textId="77777777" w:rsidR="00A8446B" w:rsidRDefault="007C094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 xml:space="preserve">Коррекция дозы не рекомендуется. Повышение экспозиции тенофовира может усилить нежелательные реакции на тенофовира дизопроксила фумарат, </w:t>
            </w:r>
            <w:r w:rsidR="002840C4" w:rsidRPr="007469A4">
              <w:rPr>
                <w:sz w:val="22"/>
                <w:szCs w:val="22"/>
              </w:rPr>
              <w:t>в т.ч.</w:t>
            </w:r>
            <w:r w:rsidRPr="007469A4">
              <w:rPr>
                <w:sz w:val="22"/>
                <w:szCs w:val="22"/>
              </w:rPr>
              <w:t xml:space="preserve"> нарушения со стороны почек и мочевыводящих путей. Следует тщательно следить за функцией почек </w:t>
            </w:r>
          </w:p>
          <w:p w14:paraId="124B02DB" w14:textId="77777777" w:rsidR="00227076" w:rsidRPr="007469A4" w:rsidRDefault="007C094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227076" w:rsidRPr="007469A4" w14:paraId="5828DF15" w14:textId="77777777" w:rsidTr="00170EF3">
        <w:tc>
          <w:tcPr>
            <w:tcW w:w="1508" w:type="pct"/>
          </w:tcPr>
          <w:p w14:paraId="79017EF0" w14:textId="77777777" w:rsidR="009E551D" w:rsidRDefault="00182F37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Ледипасвир/Софосбувир (90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мг/400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9E551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9E551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+</w:t>
            </w:r>
          </w:p>
          <w:p w14:paraId="496FAB42" w14:textId="77777777" w:rsidR="009E551D" w:rsidRDefault="00182F37" w:rsidP="00F30F2B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Долутегравир</w:t>
            </w:r>
          </w:p>
          <w:p w14:paraId="5C09D65F" w14:textId="77777777" w:rsidR="009E551D" w:rsidRDefault="00182F37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(50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9E551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9E551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+</w:t>
            </w:r>
            <w:r w:rsidR="009E551D">
              <w:rPr>
                <w:sz w:val="22"/>
                <w:szCs w:val="22"/>
              </w:rPr>
              <w:t xml:space="preserve"> </w:t>
            </w:r>
          </w:p>
          <w:p w14:paraId="0071DAB9" w14:textId="77777777" w:rsidR="00227076" w:rsidRPr="007469A4" w:rsidRDefault="00182F37" w:rsidP="00F30F2B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Тенофовира дизопроксила фумарат/Эмтрицитабин (300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мг/200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9E551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</w:p>
        </w:tc>
        <w:tc>
          <w:tcPr>
            <w:tcW w:w="1596" w:type="pct"/>
            <w:gridSpan w:val="2"/>
          </w:tcPr>
          <w:p w14:paraId="2AE0A760" w14:textId="77777777" w:rsidR="00695F99" w:rsidRPr="007469A4" w:rsidRDefault="009E551D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Софосбувир</w:t>
            </w:r>
          </w:p>
          <w:p w14:paraId="0781E240" w14:textId="77777777" w:rsidR="00695F99" w:rsidRPr="007469A4" w:rsidRDefault="00695F9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CD15E19" w14:textId="77777777" w:rsidR="00695F99" w:rsidRPr="007469A4" w:rsidRDefault="00695F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2713A0B0" w14:textId="77777777" w:rsidR="00695F99" w:rsidRPr="007469A4" w:rsidRDefault="00695F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37085997" w14:textId="77777777" w:rsidR="00695F99" w:rsidRPr="007469A4" w:rsidRDefault="00695F99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GS</w:t>
            </w:r>
            <w:r w:rsidRPr="007469A4">
              <w:rPr>
                <w:sz w:val="22"/>
                <w:szCs w:val="22"/>
              </w:rPr>
              <w:t>-331007</w:t>
            </w:r>
            <w:r w:rsidRPr="007469A4">
              <w:rPr>
                <w:sz w:val="22"/>
                <w:szCs w:val="22"/>
                <w:vertAlign w:val="superscript"/>
              </w:rPr>
              <w:t>2</w:t>
            </w:r>
          </w:p>
          <w:p w14:paraId="5661C949" w14:textId="77777777" w:rsidR="00695F99" w:rsidRPr="007469A4" w:rsidRDefault="00695F9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0073EC5C" w14:textId="77777777" w:rsidR="00695F99" w:rsidRPr="007469A4" w:rsidRDefault="00695F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7A3F3C0B" w14:textId="77777777" w:rsidR="00695F99" w:rsidRPr="007469A4" w:rsidRDefault="00695F9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66EF5BCB" w14:textId="77777777" w:rsidR="00695F99" w:rsidRPr="007469A4" w:rsidRDefault="00695F99" w:rsidP="009C56A3">
            <w:pPr>
              <w:spacing w:before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Ледипасвир</w:t>
            </w:r>
          </w:p>
          <w:p w14:paraId="07A17269" w14:textId="77777777" w:rsidR="00695F99" w:rsidRPr="007469A4" w:rsidRDefault="00695F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↔</w:t>
            </w:r>
          </w:p>
          <w:p w14:paraId="57AEDCB1" w14:textId="77777777" w:rsidR="00695F99" w:rsidRPr="007469A4" w:rsidRDefault="00695F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↔</w:t>
            </w:r>
          </w:p>
          <w:p w14:paraId="6A555521" w14:textId="77777777" w:rsidR="00695F99" w:rsidRPr="007469A4" w:rsidRDefault="00695F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66AFC33B" w14:textId="77777777" w:rsidR="000F14D7" w:rsidRPr="007469A4" w:rsidRDefault="009E551D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Долутегравир</w:t>
            </w:r>
          </w:p>
          <w:p w14:paraId="7FE18C04" w14:textId="77777777" w:rsidR="000F14D7" w:rsidRPr="007469A4" w:rsidRDefault="000F14D7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0AC570A4" w14:textId="77777777" w:rsidR="000F14D7" w:rsidRPr="007469A4" w:rsidRDefault="000F14D7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537EE85E" w14:textId="77777777" w:rsidR="000F14D7" w:rsidRPr="007469A4" w:rsidRDefault="000F14D7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46A53F1B" w14:textId="77777777" w:rsidR="00695F99" w:rsidRPr="007469A4" w:rsidRDefault="009E551D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Эмтрицитабин</w:t>
            </w:r>
          </w:p>
          <w:p w14:paraId="4C72CA4C" w14:textId="77777777" w:rsidR="00695F99" w:rsidRPr="007469A4" w:rsidRDefault="00695F9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6AC79721" w14:textId="77777777" w:rsidR="00695F99" w:rsidRPr="007469A4" w:rsidRDefault="00695F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05FDBECF" w14:textId="77777777" w:rsidR="00695F99" w:rsidRPr="007469A4" w:rsidRDefault="00695F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728DBB60" w14:textId="77777777" w:rsidR="00695F99" w:rsidRPr="007469A4" w:rsidRDefault="009E551D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Тенофовир</w:t>
            </w:r>
          </w:p>
          <w:p w14:paraId="425A4A36" w14:textId="77777777" w:rsidR="00695F99" w:rsidRPr="007469A4" w:rsidRDefault="00695F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 xml:space="preserve">AUC: ↑ </w:t>
            </w:r>
            <w:r w:rsidR="000F14D7" w:rsidRPr="007469A4">
              <w:rPr>
                <w:sz w:val="22"/>
                <w:szCs w:val="22"/>
              </w:rPr>
              <w:t>65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1CDDC8AB" w14:textId="77777777" w:rsidR="00695F99" w:rsidRPr="007469A4" w:rsidRDefault="00695F99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 xml:space="preserve">: </w:t>
            </w:r>
            <w:r w:rsidR="00B923DE" w:rsidRPr="007469A4">
              <w:rPr>
                <w:sz w:val="22"/>
                <w:szCs w:val="22"/>
              </w:rPr>
              <w:t>↑ 61</w:t>
            </w:r>
            <w:r w:rsidR="008C3AA5" w:rsidRPr="007469A4">
              <w:rPr>
                <w:sz w:val="22"/>
                <w:szCs w:val="22"/>
              </w:rPr>
              <w:t> </w:t>
            </w:r>
            <w:r w:rsidR="00B923DE" w:rsidRPr="007469A4">
              <w:rPr>
                <w:sz w:val="22"/>
                <w:szCs w:val="22"/>
              </w:rPr>
              <w:t>%</w:t>
            </w:r>
          </w:p>
          <w:p w14:paraId="036813CD" w14:textId="77777777" w:rsidR="00227076" w:rsidRPr="007469A4" w:rsidRDefault="00695F99" w:rsidP="009C56A3">
            <w:pPr>
              <w:spacing w:after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 xml:space="preserve">: ↑ </w:t>
            </w:r>
            <w:r w:rsidR="000F14D7" w:rsidRPr="007469A4">
              <w:rPr>
                <w:sz w:val="22"/>
                <w:szCs w:val="22"/>
              </w:rPr>
              <w:t>115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</w:tc>
        <w:tc>
          <w:tcPr>
            <w:tcW w:w="1896" w:type="pct"/>
            <w:gridSpan w:val="2"/>
          </w:tcPr>
          <w:p w14:paraId="4ACC647B" w14:textId="77777777" w:rsidR="00A8446B" w:rsidRDefault="007C094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 xml:space="preserve">Коррекция дозы не рекомендуется. Повышение экспозиции тенофовира может усилить нежелательные реакции на тенофовира дизопроксила фумарат, </w:t>
            </w:r>
            <w:r w:rsidR="002840C4" w:rsidRPr="007469A4">
              <w:rPr>
                <w:sz w:val="22"/>
                <w:szCs w:val="22"/>
              </w:rPr>
              <w:t>в т.ч.</w:t>
            </w:r>
            <w:r w:rsidRPr="007469A4">
              <w:rPr>
                <w:sz w:val="22"/>
                <w:szCs w:val="22"/>
              </w:rPr>
              <w:t xml:space="preserve"> нарушения со стороны почек и мочевыводящих путей. Следует тщательно следить за функцией почек </w:t>
            </w:r>
          </w:p>
          <w:p w14:paraId="1E37A7B0" w14:textId="77777777" w:rsidR="00227076" w:rsidRPr="007469A4" w:rsidRDefault="007C094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227076" w:rsidRPr="007469A4" w14:paraId="2AB6B036" w14:textId="77777777" w:rsidTr="00170EF3">
        <w:tc>
          <w:tcPr>
            <w:tcW w:w="1508" w:type="pct"/>
          </w:tcPr>
          <w:p w14:paraId="330301CB" w14:textId="77777777" w:rsidR="009E551D" w:rsidRDefault="00856856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Велпатасвир/Софосбувир (100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мг/400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9E551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9E551D">
              <w:rPr>
                <w:sz w:val="22"/>
                <w:szCs w:val="22"/>
              </w:rPr>
              <w:t> </w:t>
            </w:r>
            <w:r w:rsidR="00170EF3">
              <w:rPr>
                <w:sz w:val="22"/>
                <w:szCs w:val="22"/>
              </w:rPr>
              <w:t>+</w:t>
            </w:r>
          </w:p>
          <w:p w14:paraId="1568A86F" w14:textId="77777777" w:rsidR="009E551D" w:rsidRDefault="00856856" w:rsidP="00F30F2B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Атазанавир/Ритонавир (300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9E551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./100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9E551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9E551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+</w:t>
            </w:r>
          </w:p>
          <w:p w14:paraId="6B125C13" w14:textId="77777777" w:rsidR="00227076" w:rsidRPr="007469A4" w:rsidRDefault="00856856" w:rsidP="00F30F2B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Тенофовира дизопроксила фумарат/Эмтрицитабин (300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мг/200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9E551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</w:p>
        </w:tc>
        <w:tc>
          <w:tcPr>
            <w:tcW w:w="1596" w:type="pct"/>
            <w:gridSpan w:val="2"/>
          </w:tcPr>
          <w:p w14:paraId="3A63361F" w14:textId="77777777" w:rsidR="00501BC4" w:rsidRPr="007469A4" w:rsidRDefault="009E551D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Софосбувир</w:t>
            </w:r>
          </w:p>
          <w:p w14:paraId="0B20086D" w14:textId="77777777" w:rsidR="00501BC4" w:rsidRPr="007469A4" w:rsidRDefault="00501BC4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66EFE3CF" w14:textId="77777777" w:rsidR="00501BC4" w:rsidRPr="007469A4" w:rsidRDefault="00501BC4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C036E78" w14:textId="77777777" w:rsidR="00501BC4" w:rsidRPr="007469A4" w:rsidRDefault="00501BC4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GS</w:t>
            </w:r>
            <w:r w:rsidRPr="007469A4">
              <w:rPr>
                <w:sz w:val="22"/>
                <w:szCs w:val="22"/>
              </w:rPr>
              <w:t>-331007</w:t>
            </w:r>
            <w:r w:rsidRPr="007469A4">
              <w:rPr>
                <w:sz w:val="22"/>
                <w:szCs w:val="22"/>
                <w:vertAlign w:val="superscript"/>
              </w:rPr>
              <w:t>2</w:t>
            </w:r>
          </w:p>
          <w:p w14:paraId="4AB1A525" w14:textId="77777777" w:rsidR="00501BC4" w:rsidRPr="007469A4" w:rsidRDefault="00501BC4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C195516" w14:textId="77777777" w:rsidR="00501BC4" w:rsidRPr="007469A4" w:rsidRDefault="00501BC4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2E1DBE6" w14:textId="77777777" w:rsidR="00501BC4" w:rsidRPr="007469A4" w:rsidRDefault="00501BC4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42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7DBDD527" w14:textId="77777777" w:rsidR="00501BC4" w:rsidRPr="007469A4" w:rsidRDefault="00501BC4" w:rsidP="009C56A3">
            <w:pPr>
              <w:spacing w:before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Велпатасвир</w:t>
            </w:r>
          </w:p>
          <w:p w14:paraId="76A727C2" w14:textId="77777777" w:rsidR="00501BC4" w:rsidRPr="007469A4" w:rsidRDefault="00501BC4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 xml:space="preserve">AUC: </w:t>
            </w:r>
            <w:r w:rsidR="00B923DE" w:rsidRPr="007469A4">
              <w:rPr>
                <w:sz w:val="22"/>
                <w:szCs w:val="22"/>
              </w:rPr>
              <w:t>↑ 1</w:t>
            </w:r>
            <w:r w:rsidRPr="007469A4">
              <w:rPr>
                <w:sz w:val="22"/>
                <w:szCs w:val="22"/>
              </w:rPr>
              <w:t>42</w:t>
            </w:r>
            <w:r w:rsidR="008C3AA5" w:rsidRPr="007469A4">
              <w:rPr>
                <w:sz w:val="22"/>
                <w:szCs w:val="22"/>
              </w:rPr>
              <w:t> </w:t>
            </w:r>
            <w:r w:rsidR="00B923DE" w:rsidRPr="007469A4">
              <w:rPr>
                <w:sz w:val="22"/>
                <w:szCs w:val="22"/>
              </w:rPr>
              <w:t>%</w:t>
            </w:r>
          </w:p>
          <w:p w14:paraId="05AD4194" w14:textId="77777777" w:rsidR="00501BC4" w:rsidRPr="007469A4" w:rsidRDefault="00501BC4" w:rsidP="009C56A3">
            <w:pPr>
              <w:pStyle w:val="Style177"/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 xml:space="preserve">: </w:t>
            </w:r>
            <w:r w:rsidR="00B923DE" w:rsidRPr="007469A4">
              <w:rPr>
                <w:sz w:val="22"/>
                <w:szCs w:val="22"/>
              </w:rPr>
              <w:t xml:space="preserve">↑ </w:t>
            </w:r>
            <w:r w:rsidRPr="007469A4">
              <w:rPr>
                <w:sz w:val="22"/>
                <w:szCs w:val="22"/>
              </w:rPr>
              <w:t>55</w:t>
            </w:r>
            <w:r w:rsidR="008C3AA5" w:rsidRPr="007469A4">
              <w:rPr>
                <w:sz w:val="22"/>
                <w:szCs w:val="22"/>
              </w:rPr>
              <w:t> </w:t>
            </w:r>
            <w:r w:rsidR="00B923DE" w:rsidRPr="007469A4">
              <w:rPr>
                <w:sz w:val="22"/>
                <w:szCs w:val="22"/>
              </w:rPr>
              <w:t>%</w:t>
            </w:r>
          </w:p>
          <w:p w14:paraId="62B9873B" w14:textId="77777777" w:rsidR="00501BC4" w:rsidRPr="007469A4" w:rsidRDefault="00501BC4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>С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 xml:space="preserve">: </w:t>
            </w:r>
            <w:r w:rsidR="00B923DE" w:rsidRPr="007469A4">
              <w:rPr>
                <w:sz w:val="22"/>
                <w:szCs w:val="22"/>
              </w:rPr>
              <w:t xml:space="preserve">↑ </w:t>
            </w:r>
            <w:r w:rsidRPr="007469A4">
              <w:rPr>
                <w:sz w:val="22"/>
                <w:szCs w:val="22"/>
              </w:rPr>
              <w:t>301</w:t>
            </w:r>
            <w:r w:rsidR="008C3AA5" w:rsidRPr="007469A4">
              <w:rPr>
                <w:sz w:val="22"/>
                <w:szCs w:val="22"/>
              </w:rPr>
              <w:t> </w:t>
            </w:r>
            <w:r w:rsidR="00B923DE" w:rsidRPr="007469A4">
              <w:rPr>
                <w:sz w:val="22"/>
                <w:szCs w:val="22"/>
              </w:rPr>
              <w:t>%</w:t>
            </w:r>
          </w:p>
          <w:p w14:paraId="0285D2AE" w14:textId="77777777" w:rsidR="00501BC4" w:rsidRPr="007469A4" w:rsidRDefault="009E551D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Атазанавир</w:t>
            </w:r>
          </w:p>
          <w:p w14:paraId="62F0146E" w14:textId="77777777" w:rsidR="00501BC4" w:rsidRPr="007469A4" w:rsidRDefault="00501BC4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2F4CBB26" w14:textId="77777777" w:rsidR="00501BC4" w:rsidRPr="007469A4" w:rsidRDefault="00501BC4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2DB45C99" w14:textId="77777777" w:rsidR="00501BC4" w:rsidRPr="007469A4" w:rsidRDefault="00501BC4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39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7B513178" w14:textId="77777777" w:rsidR="00501BC4" w:rsidRPr="007469A4" w:rsidRDefault="00501BC4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Ритонавир</w:t>
            </w:r>
          </w:p>
          <w:p w14:paraId="74E3CB44" w14:textId="77777777" w:rsidR="00501BC4" w:rsidRPr="007469A4" w:rsidRDefault="00501BC4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61F9E783" w14:textId="77777777" w:rsidR="00501BC4" w:rsidRPr="007469A4" w:rsidRDefault="00501BC4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4B337783" w14:textId="77777777" w:rsidR="00501BC4" w:rsidRPr="007469A4" w:rsidRDefault="00501BC4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29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107CBE26" w14:textId="77777777" w:rsidR="00501BC4" w:rsidRPr="007469A4" w:rsidRDefault="009E551D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Эмтрицитабин</w:t>
            </w:r>
          </w:p>
          <w:p w14:paraId="1C977E51" w14:textId="77777777" w:rsidR="00501BC4" w:rsidRPr="007469A4" w:rsidRDefault="00501BC4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7AD599FA" w14:textId="77777777" w:rsidR="00501BC4" w:rsidRPr="007469A4" w:rsidRDefault="00501BC4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6F8100A2" w14:textId="77777777" w:rsidR="00501BC4" w:rsidRPr="007469A4" w:rsidRDefault="00501BC4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43022796" w14:textId="77777777" w:rsidR="00501BC4" w:rsidRPr="007469A4" w:rsidRDefault="009E551D" w:rsidP="009C56A3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Тенофовир</w:t>
            </w:r>
          </w:p>
          <w:p w14:paraId="44B56C26" w14:textId="77777777" w:rsidR="00501BC4" w:rsidRPr="007469A4" w:rsidRDefault="00501BC4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↔</w:t>
            </w:r>
          </w:p>
          <w:p w14:paraId="7F02D2A8" w14:textId="77777777" w:rsidR="00501BC4" w:rsidRPr="007469A4" w:rsidRDefault="00501BC4" w:rsidP="009C56A3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↑ 55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2A58639B" w14:textId="77777777" w:rsidR="00227076" w:rsidRPr="007469A4" w:rsidRDefault="00501BC4" w:rsidP="009C56A3">
            <w:pPr>
              <w:spacing w:after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39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</w:tc>
        <w:tc>
          <w:tcPr>
            <w:tcW w:w="1896" w:type="pct"/>
            <w:gridSpan w:val="2"/>
          </w:tcPr>
          <w:p w14:paraId="1BF1EC6E" w14:textId="77777777" w:rsidR="007C0949" w:rsidRPr="007469A4" w:rsidRDefault="007C094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 xml:space="preserve">Повышение концентрации тенофовира в плазме </w:t>
            </w:r>
            <w:r w:rsidR="00D11C8B">
              <w:rPr>
                <w:sz w:val="22"/>
                <w:szCs w:val="22"/>
              </w:rPr>
              <w:t xml:space="preserve">крови </w:t>
            </w:r>
            <w:r w:rsidRPr="007469A4">
              <w:rPr>
                <w:sz w:val="22"/>
                <w:szCs w:val="22"/>
              </w:rPr>
              <w:t xml:space="preserve">при совместном применении тенофовира дизопроксила фумарата, препаратов велпатасвир/софосбувир и атазанавир/ритонавир может усилить нежелательные реакции на тенофовира дизопроксила фумарат, </w:t>
            </w:r>
            <w:r w:rsidR="002840C4" w:rsidRPr="007469A4">
              <w:rPr>
                <w:sz w:val="22"/>
                <w:szCs w:val="22"/>
              </w:rPr>
              <w:t>в т.ч.</w:t>
            </w:r>
            <w:r w:rsidRPr="007469A4">
              <w:rPr>
                <w:sz w:val="22"/>
                <w:szCs w:val="22"/>
              </w:rPr>
              <w:t xml:space="preserve"> нарушения со стороны почек и мочевыводящих путей. Безопасность тенофовира дизопроксила фумарата </w:t>
            </w:r>
            <w:r w:rsidRPr="007469A4">
              <w:rPr>
                <w:sz w:val="22"/>
                <w:szCs w:val="22"/>
              </w:rPr>
              <w:lastRenderedPageBreak/>
              <w:t>при совместном применении с препаратом велпатасвир/софосбувир и бустером (например, ритонавиром или кобицистатом) не установлена.</w:t>
            </w:r>
          </w:p>
          <w:p w14:paraId="2B07F780" w14:textId="77777777" w:rsidR="00A8446B" w:rsidRDefault="007C0949" w:rsidP="009C56A3">
            <w:pPr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 xml:space="preserve">Это сочетание следует использовать с осторожностью при частом контроле функции почек </w:t>
            </w:r>
          </w:p>
          <w:p w14:paraId="6BAEC489" w14:textId="77777777" w:rsidR="00227076" w:rsidRPr="007469A4" w:rsidRDefault="007C0949" w:rsidP="009C56A3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227076" w:rsidRPr="007469A4" w14:paraId="516B39D5" w14:textId="77777777" w:rsidTr="00170EF3">
        <w:tc>
          <w:tcPr>
            <w:tcW w:w="1508" w:type="pct"/>
          </w:tcPr>
          <w:p w14:paraId="3D92C595" w14:textId="77777777" w:rsidR="00887DAD" w:rsidRDefault="00856856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>Велпатасвир/Софосбувир (100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мг/400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887DAD">
              <w:rPr>
                <w:sz w:val="22"/>
                <w:szCs w:val="22"/>
              </w:rPr>
              <w:t> </w:t>
            </w:r>
            <w:r w:rsidR="00170EF3">
              <w:rPr>
                <w:sz w:val="22"/>
                <w:szCs w:val="22"/>
              </w:rPr>
              <w:t>+</w:t>
            </w:r>
          </w:p>
          <w:p w14:paraId="42B2C749" w14:textId="77777777" w:rsidR="00887DAD" w:rsidRDefault="00856856" w:rsidP="00F30F2B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Дарунавир/Ритонавир (800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./100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+</w:t>
            </w:r>
          </w:p>
          <w:p w14:paraId="5F941369" w14:textId="77777777" w:rsidR="00227076" w:rsidRPr="007469A4" w:rsidRDefault="00856856" w:rsidP="00F30F2B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Тенофовира дизопроксила фумарат/Эмтрицитабин (300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мг/200</w:t>
            </w:r>
            <w:r w:rsidR="008C3AA5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</w:p>
        </w:tc>
        <w:tc>
          <w:tcPr>
            <w:tcW w:w="1596" w:type="pct"/>
            <w:gridSpan w:val="2"/>
          </w:tcPr>
          <w:p w14:paraId="4EB97F75" w14:textId="77777777" w:rsidR="00992289" w:rsidRPr="007469A4" w:rsidRDefault="00887DAD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Софосбувир</w:t>
            </w:r>
          </w:p>
          <w:p w14:paraId="3D5B7CF4" w14:textId="77777777" w:rsidR="00992289" w:rsidRPr="007469A4" w:rsidRDefault="00992289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↓ 28%</w:t>
            </w:r>
          </w:p>
          <w:p w14:paraId="79D5611F" w14:textId="77777777" w:rsidR="00992289" w:rsidRPr="007469A4" w:rsidRDefault="00992289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↓ 38%</w:t>
            </w:r>
          </w:p>
          <w:p w14:paraId="09FBE338" w14:textId="77777777" w:rsidR="00992289" w:rsidRPr="007469A4" w:rsidRDefault="00992289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1F487FB0" w14:textId="77777777" w:rsidR="00992289" w:rsidRPr="007469A4" w:rsidRDefault="00992289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GS</w:t>
            </w:r>
            <w:r w:rsidRPr="007469A4">
              <w:rPr>
                <w:sz w:val="22"/>
                <w:szCs w:val="22"/>
              </w:rPr>
              <w:t>-331007</w:t>
            </w:r>
            <w:r w:rsidRPr="007469A4">
              <w:rPr>
                <w:sz w:val="22"/>
                <w:szCs w:val="22"/>
                <w:vertAlign w:val="superscript"/>
              </w:rPr>
              <w:t>2</w:t>
            </w:r>
          </w:p>
          <w:p w14:paraId="3B573A16" w14:textId="77777777" w:rsidR="00992289" w:rsidRPr="007469A4" w:rsidRDefault="00992289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C5C2BD8" w14:textId="77777777" w:rsidR="00992289" w:rsidRPr="007469A4" w:rsidRDefault="00992289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70ACCBF" w14:textId="77777777" w:rsidR="00992289" w:rsidRPr="007469A4" w:rsidRDefault="00992289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145D759C" w14:textId="77777777" w:rsidR="00992289" w:rsidRPr="007469A4" w:rsidRDefault="00992289" w:rsidP="00CA1EC1">
            <w:pPr>
              <w:spacing w:before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Велпатасвир</w:t>
            </w:r>
          </w:p>
          <w:p w14:paraId="60759A51" w14:textId="77777777" w:rsidR="00992289" w:rsidRPr="007469A4" w:rsidRDefault="00992289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↔</w:t>
            </w:r>
          </w:p>
          <w:p w14:paraId="1AADFB8E" w14:textId="77777777" w:rsidR="00992289" w:rsidRPr="007469A4" w:rsidRDefault="00992289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↓ 24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1F98402B" w14:textId="77777777" w:rsidR="00992289" w:rsidRPr="007469A4" w:rsidRDefault="00992289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2EE27356" w14:textId="77777777" w:rsidR="00992289" w:rsidRPr="007469A4" w:rsidRDefault="00887DAD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Дарунавир</w:t>
            </w:r>
          </w:p>
          <w:p w14:paraId="406F692F" w14:textId="77777777" w:rsidR="00992289" w:rsidRPr="007469A4" w:rsidRDefault="00992289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0D22F9BB" w14:textId="77777777" w:rsidR="00992289" w:rsidRPr="007469A4" w:rsidRDefault="00992289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1D3439E" w14:textId="77777777" w:rsidR="00992289" w:rsidRPr="007469A4" w:rsidRDefault="00B923D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 xml:space="preserve">: </w:t>
            </w:r>
            <w:r w:rsidR="00992289" w:rsidRPr="007469A4">
              <w:rPr>
                <w:sz w:val="22"/>
                <w:szCs w:val="22"/>
              </w:rPr>
              <w:t>↔</w:t>
            </w:r>
          </w:p>
          <w:p w14:paraId="70D5BF37" w14:textId="77777777" w:rsidR="00992289" w:rsidRPr="007469A4" w:rsidRDefault="00887DAD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Ритонавир</w:t>
            </w:r>
          </w:p>
          <w:p w14:paraId="5315915F" w14:textId="77777777" w:rsidR="00992289" w:rsidRPr="007469A4" w:rsidRDefault="00992289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7D76D508" w14:textId="77777777" w:rsidR="00992289" w:rsidRPr="007469A4" w:rsidRDefault="00992289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52D786D8" w14:textId="77777777" w:rsidR="00992289" w:rsidRPr="007469A4" w:rsidRDefault="00B923D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 xml:space="preserve">: </w:t>
            </w:r>
            <w:r w:rsidR="00992289" w:rsidRPr="007469A4">
              <w:rPr>
                <w:sz w:val="22"/>
                <w:szCs w:val="22"/>
              </w:rPr>
              <w:t>↔</w:t>
            </w:r>
          </w:p>
          <w:p w14:paraId="315CFEE3" w14:textId="77777777" w:rsidR="00992289" w:rsidRPr="007469A4" w:rsidRDefault="00887DAD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Эмтрицитабин</w:t>
            </w:r>
          </w:p>
          <w:p w14:paraId="57AB0BF3" w14:textId="77777777" w:rsidR="00992289" w:rsidRPr="007469A4" w:rsidRDefault="00992289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57F6600A" w14:textId="77777777" w:rsidR="00992289" w:rsidRPr="007469A4" w:rsidRDefault="00992289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21CF35A7" w14:textId="77777777" w:rsidR="00992289" w:rsidRPr="007469A4" w:rsidRDefault="00992289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254A0F3A" w14:textId="77777777" w:rsidR="00992289" w:rsidRPr="007469A4" w:rsidRDefault="00887DAD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Тенофовир</w:t>
            </w:r>
          </w:p>
          <w:p w14:paraId="2536E975" w14:textId="77777777" w:rsidR="00992289" w:rsidRPr="007469A4" w:rsidRDefault="00992289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↑ 39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46A6E89F" w14:textId="77777777" w:rsidR="00992289" w:rsidRPr="007469A4" w:rsidRDefault="00992289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↑ 55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0C3701AB" w14:textId="77777777" w:rsidR="00227076" w:rsidRPr="007469A4" w:rsidRDefault="00992289" w:rsidP="00CA1EC1">
            <w:pPr>
              <w:spacing w:after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52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</w:tc>
        <w:tc>
          <w:tcPr>
            <w:tcW w:w="1896" w:type="pct"/>
            <w:gridSpan w:val="2"/>
          </w:tcPr>
          <w:p w14:paraId="3547B1CC" w14:textId="77777777" w:rsidR="007C0949" w:rsidRPr="007469A4" w:rsidRDefault="007C0949" w:rsidP="00A8446B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 xml:space="preserve">Повышение концентрации тенофовира в плазме </w:t>
            </w:r>
            <w:r w:rsidR="00D11C8B">
              <w:rPr>
                <w:sz w:val="22"/>
                <w:szCs w:val="22"/>
              </w:rPr>
              <w:t xml:space="preserve">крови </w:t>
            </w:r>
            <w:r w:rsidRPr="007469A4">
              <w:rPr>
                <w:sz w:val="22"/>
                <w:szCs w:val="22"/>
              </w:rPr>
              <w:t xml:space="preserve">при совместном применении тенофовира дизопроксила фумарата, препаратов велпатасвир/софосбувир и дарунавир/ритонавир может усилить нежелательные реакции на тенофовира дизопроксила фумарат, </w:t>
            </w:r>
            <w:r w:rsidR="002840C4" w:rsidRPr="007469A4">
              <w:rPr>
                <w:sz w:val="22"/>
                <w:szCs w:val="22"/>
              </w:rPr>
              <w:t>в т.ч.</w:t>
            </w:r>
            <w:r w:rsidRPr="007469A4">
              <w:rPr>
                <w:sz w:val="22"/>
                <w:szCs w:val="22"/>
              </w:rPr>
              <w:t xml:space="preserve"> нарушения со стороны почек и мочевыводящих путей. Безопасность тенофовира дизопроксила фумарата при совместном применении с препаратом велпатасвир/софосбувир и бустером (например, ритонавиром или кобицистатом) не установлена.</w:t>
            </w:r>
          </w:p>
          <w:p w14:paraId="1A7CAD30" w14:textId="77777777" w:rsidR="00A8446B" w:rsidRDefault="007C0949" w:rsidP="00A8446B">
            <w:pPr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 xml:space="preserve">Это сочетание следует использовать с осторожностью при частом контроле функции почек </w:t>
            </w:r>
          </w:p>
          <w:p w14:paraId="3C0CC841" w14:textId="77777777" w:rsidR="00227076" w:rsidRPr="007469A4" w:rsidRDefault="007C0949" w:rsidP="00A8446B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227076" w:rsidRPr="007469A4" w14:paraId="7D6051C1" w14:textId="77777777" w:rsidTr="00170EF3">
        <w:tc>
          <w:tcPr>
            <w:tcW w:w="1508" w:type="pct"/>
          </w:tcPr>
          <w:p w14:paraId="19968084" w14:textId="77777777" w:rsidR="00887DAD" w:rsidRDefault="00856856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Велпатасвир/Софосбувир (400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</w:t>
            </w:r>
            <w:r w:rsidR="00A21CAA">
              <w:rPr>
                <w:sz w:val="22"/>
                <w:szCs w:val="22"/>
              </w:rPr>
              <w:t>1</w:t>
            </w:r>
            <w:r w:rsidR="00A21CAA" w:rsidRPr="007469A4">
              <w:rPr>
                <w:sz w:val="22"/>
                <w:szCs w:val="22"/>
              </w:rPr>
              <w:t>00 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887DAD">
              <w:rPr>
                <w:sz w:val="22"/>
                <w:szCs w:val="22"/>
              </w:rPr>
              <w:t> </w:t>
            </w:r>
            <w:r w:rsidR="00170EF3">
              <w:rPr>
                <w:sz w:val="22"/>
                <w:szCs w:val="22"/>
              </w:rPr>
              <w:t>+</w:t>
            </w:r>
          </w:p>
          <w:p w14:paraId="3DCCFD27" w14:textId="77777777" w:rsidR="00887DAD" w:rsidRDefault="00856856" w:rsidP="00136B39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Лопинавир/Ритонавир (800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./200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+</w:t>
            </w:r>
          </w:p>
          <w:p w14:paraId="7C1899A8" w14:textId="77777777" w:rsidR="00227076" w:rsidRPr="007469A4" w:rsidRDefault="00856856" w:rsidP="00136B39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Тенофовира дизопроксила фумарат/Эмтрицитабин (300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мг/200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</w:p>
        </w:tc>
        <w:tc>
          <w:tcPr>
            <w:tcW w:w="1596" w:type="pct"/>
            <w:gridSpan w:val="2"/>
          </w:tcPr>
          <w:p w14:paraId="56CBAFBA" w14:textId="77777777" w:rsidR="001F49AE" w:rsidRPr="007469A4" w:rsidRDefault="00F26FFF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Софосбувир</w:t>
            </w:r>
          </w:p>
          <w:p w14:paraId="5F214969" w14:textId="77777777" w:rsidR="001F49AE" w:rsidRPr="007469A4" w:rsidRDefault="001F49AE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↓ 29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1B0A2EFE" w14:textId="77777777" w:rsidR="001F49AE" w:rsidRPr="007469A4" w:rsidRDefault="001F49A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↓ 41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70B984B0" w14:textId="77777777" w:rsidR="001F49AE" w:rsidRPr="007469A4" w:rsidRDefault="001F49AE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GS</w:t>
            </w:r>
            <w:r w:rsidRPr="007469A4">
              <w:rPr>
                <w:sz w:val="22"/>
                <w:szCs w:val="22"/>
              </w:rPr>
              <w:t>-331007</w:t>
            </w:r>
            <w:r w:rsidRPr="007469A4">
              <w:rPr>
                <w:sz w:val="22"/>
                <w:szCs w:val="22"/>
                <w:vertAlign w:val="superscript"/>
              </w:rPr>
              <w:t>2</w:t>
            </w:r>
          </w:p>
          <w:p w14:paraId="1824398B" w14:textId="77777777" w:rsidR="001F49AE" w:rsidRPr="007469A4" w:rsidRDefault="001F49AE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40C048A9" w14:textId="77777777" w:rsidR="001F49AE" w:rsidRPr="007469A4" w:rsidRDefault="001F49A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2BB059F5" w14:textId="77777777" w:rsidR="001F49AE" w:rsidRPr="007469A4" w:rsidRDefault="001F49A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2777C853" w14:textId="77777777" w:rsidR="001F49AE" w:rsidRPr="007469A4" w:rsidRDefault="001F49AE" w:rsidP="00CA1EC1">
            <w:pPr>
              <w:spacing w:before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Велпатасвир</w:t>
            </w:r>
          </w:p>
          <w:p w14:paraId="394CD419" w14:textId="77777777" w:rsidR="001F49AE" w:rsidRPr="007469A4" w:rsidRDefault="001F49A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↔</w:t>
            </w:r>
          </w:p>
          <w:p w14:paraId="5371828C" w14:textId="77777777" w:rsidR="001F49AE" w:rsidRPr="007469A4" w:rsidRDefault="001F49A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↓ 30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44AA08EE" w14:textId="77777777" w:rsidR="001F49AE" w:rsidRPr="007469A4" w:rsidRDefault="001F49A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 xml:space="preserve">: </w:t>
            </w:r>
            <w:r w:rsidR="00B923DE" w:rsidRPr="007469A4">
              <w:rPr>
                <w:sz w:val="22"/>
                <w:szCs w:val="22"/>
              </w:rPr>
              <w:t xml:space="preserve">↑ </w:t>
            </w:r>
            <w:r w:rsidRPr="007469A4">
              <w:rPr>
                <w:sz w:val="22"/>
                <w:szCs w:val="22"/>
              </w:rPr>
              <w:t>63</w:t>
            </w:r>
            <w:r w:rsidR="00577D9A" w:rsidRPr="007469A4">
              <w:rPr>
                <w:sz w:val="22"/>
                <w:szCs w:val="22"/>
              </w:rPr>
              <w:t> </w:t>
            </w:r>
            <w:r w:rsidR="00B923DE" w:rsidRPr="007469A4">
              <w:rPr>
                <w:sz w:val="22"/>
                <w:szCs w:val="22"/>
              </w:rPr>
              <w:t>%</w:t>
            </w:r>
          </w:p>
          <w:p w14:paraId="4A2564A8" w14:textId="77777777" w:rsidR="001F49AE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Лопинавир</w:t>
            </w:r>
          </w:p>
          <w:p w14:paraId="179364D7" w14:textId="77777777" w:rsidR="001F49AE" w:rsidRPr="007469A4" w:rsidRDefault="001F49AE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0C903D7D" w14:textId="77777777" w:rsidR="001F49AE" w:rsidRPr="007469A4" w:rsidRDefault="001F49A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4938C6D" w14:textId="77777777" w:rsidR="001F49AE" w:rsidRPr="007469A4" w:rsidRDefault="001F49A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7B7EE4EC" w14:textId="77777777" w:rsidR="001F49AE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Ритонавир</w:t>
            </w:r>
          </w:p>
          <w:p w14:paraId="4E211BD5" w14:textId="77777777" w:rsidR="001F49AE" w:rsidRPr="007469A4" w:rsidRDefault="001F49AE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67359C02" w14:textId="77777777" w:rsidR="001F49AE" w:rsidRPr="007469A4" w:rsidRDefault="001F49A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0EAEEC92" w14:textId="77777777" w:rsidR="001F49AE" w:rsidRPr="007469A4" w:rsidRDefault="001F49A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67B64978" w14:textId="77777777" w:rsidR="001F49AE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Эмтрицитабин</w:t>
            </w:r>
          </w:p>
          <w:p w14:paraId="572D75C8" w14:textId="77777777" w:rsidR="001F49AE" w:rsidRPr="007469A4" w:rsidRDefault="001F49AE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060C56CC" w14:textId="77777777" w:rsidR="001F49AE" w:rsidRPr="007469A4" w:rsidRDefault="001F49A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226A7B1F" w14:textId="77777777" w:rsidR="001F49AE" w:rsidRPr="007469A4" w:rsidRDefault="001F49A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6A0211C7" w14:textId="77777777" w:rsidR="001F49AE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Тенофовир</w:t>
            </w:r>
          </w:p>
          <w:p w14:paraId="6C70DE00" w14:textId="77777777" w:rsidR="001F49AE" w:rsidRPr="007469A4" w:rsidRDefault="001F49A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↔</w:t>
            </w:r>
          </w:p>
          <w:p w14:paraId="4101969E" w14:textId="77777777" w:rsidR="001F49AE" w:rsidRPr="007469A4" w:rsidRDefault="001F49A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↑ 42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74FC0589" w14:textId="77777777" w:rsidR="00227076" w:rsidRPr="007469A4" w:rsidRDefault="001F49AE" w:rsidP="00CA1EC1">
            <w:pPr>
              <w:spacing w:after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</w:tc>
        <w:tc>
          <w:tcPr>
            <w:tcW w:w="1896" w:type="pct"/>
            <w:gridSpan w:val="2"/>
          </w:tcPr>
          <w:p w14:paraId="036D4652" w14:textId="77777777" w:rsidR="00F26F1C" w:rsidRPr="007469A4" w:rsidRDefault="00F26F1C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 xml:space="preserve">Повышение концентрации тенофовира в плазме </w:t>
            </w:r>
            <w:r w:rsidR="00D11C8B">
              <w:rPr>
                <w:sz w:val="22"/>
                <w:szCs w:val="22"/>
              </w:rPr>
              <w:t xml:space="preserve">крови </w:t>
            </w:r>
            <w:r w:rsidRPr="007469A4">
              <w:rPr>
                <w:sz w:val="22"/>
                <w:szCs w:val="22"/>
              </w:rPr>
              <w:t xml:space="preserve">при совместном применении тенофовира дизопроксила фумарата, препаратов велпатасвир/софосбувир и лопинавир/ритонавир может усилить нежелательные реакции на тенофовира дизопроксила фумарат, </w:t>
            </w:r>
            <w:r w:rsidR="002840C4" w:rsidRPr="007469A4">
              <w:rPr>
                <w:sz w:val="22"/>
                <w:szCs w:val="22"/>
              </w:rPr>
              <w:t>в т.ч.</w:t>
            </w:r>
            <w:r w:rsidRPr="007469A4">
              <w:rPr>
                <w:sz w:val="22"/>
                <w:szCs w:val="22"/>
              </w:rPr>
              <w:t xml:space="preserve"> нарушения со стороны почек и мочевыводящих путей. Безопасность тенофовира дизопроксила фумарата при совместном применении с препаратом велпатасвир/софосбувир и бустером (например, ритонавиром или кобицистатом) не установлена.</w:t>
            </w:r>
          </w:p>
          <w:p w14:paraId="122F5A7C" w14:textId="77777777" w:rsidR="00A8446B" w:rsidRDefault="00F26F1C" w:rsidP="00CA1EC1">
            <w:pPr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 xml:space="preserve">Это сочетание следует использовать с осторожностью при частом контроле функции почек </w:t>
            </w:r>
          </w:p>
          <w:p w14:paraId="3DAEFE58" w14:textId="77777777" w:rsidR="00227076" w:rsidRPr="007469A4" w:rsidRDefault="00F26F1C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227076" w:rsidRPr="007469A4" w14:paraId="75D49FF5" w14:textId="77777777" w:rsidTr="00170EF3">
        <w:tc>
          <w:tcPr>
            <w:tcW w:w="1508" w:type="pct"/>
          </w:tcPr>
          <w:p w14:paraId="732D4681" w14:textId="77777777" w:rsidR="00887DAD" w:rsidRDefault="00856856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Велпатасвир/Софосбувир (100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мг/400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887DAD">
              <w:rPr>
                <w:sz w:val="22"/>
                <w:szCs w:val="22"/>
              </w:rPr>
              <w:t> </w:t>
            </w:r>
            <w:r w:rsidR="00170EF3">
              <w:rPr>
                <w:sz w:val="22"/>
                <w:szCs w:val="22"/>
              </w:rPr>
              <w:t>+</w:t>
            </w:r>
          </w:p>
          <w:p w14:paraId="2AF6CA8F" w14:textId="77777777" w:rsidR="00887DAD" w:rsidRDefault="00856856" w:rsidP="00136B39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 xml:space="preserve">Ралтегравир </w:t>
            </w:r>
          </w:p>
          <w:p w14:paraId="58C5A7FD" w14:textId="77777777" w:rsidR="00887DAD" w:rsidRDefault="00856856" w:rsidP="00136B39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(400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b</w:t>
            </w:r>
            <w:r w:rsidR="00B923DE"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i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+</w:t>
            </w:r>
          </w:p>
          <w:p w14:paraId="31CA7F29" w14:textId="77777777" w:rsidR="00227076" w:rsidRPr="007469A4" w:rsidRDefault="00856856" w:rsidP="00136B39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Тенофовира дизопроксила фумарат/Эмтрицитабин (300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мг/200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</w:p>
        </w:tc>
        <w:tc>
          <w:tcPr>
            <w:tcW w:w="1596" w:type="pct"/>
            <w:gridSpan w:val="2"/>
          </w:tcPr>
          <w:p w14:paraId="407D111A" w14:textId="77777777" w:rsidR="000660E5" w:rsidRPr="007469A4" w:rsidRDefault="00F26FFF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Софосбувир</w:t>
            </w:r>
          </w:p>
          <w:p w14:paraId="1905D7AF" w14:textId="77777777" w:rsidR="000660E5" w:rsidRPr="007469A4" w:rsidRDefault="000660E5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03001C2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CC03743" w14:textId="77777777" w:rsidR="000660E5" w:rsidRPr="007469A4" w:rsidRDefault="000660E5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GS</w:t>
            </w:r>
            <w:r w:rsidRPr="007469A4">
              <w:rPr>
                <w:sz w:val="22"/>
                <w:szCs w:val="22"/>
              </w:rPr>
              <w:t>-331007</w:t>
            </w:r>
            <w:r w:rsidRPr="007469A4">
              <w:rPr>
                <w:sz w:val="22"/>
                <w:szCs w:val="22"/>
                <w:vertAlign w:val="superscript"/>
              </w:rPr>
              <w:t>2</w:t>
            </w:r>
          </w:p>
          <w:p w14:paraId="1514B945" w14:textId="77777777" w:rsidR="000660E5" w:rsidRPr="007469A4" w:rsidRDefault="000660E5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57143AD2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3E217151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240500E7" w14:textId="77777777" w:rsidR="000660E5" w:rsidRPr="007469A4" w:rsidRDefault="000660E5" w:rsidP="00CA1EC1">
            <w:pPr>
              <w:spacing w:before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Велпатасвир</w:t>
            </w:r>
          </w:p>
          <w:p w14:paraId="6F00548A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↔</w:t>
            </w:r>
          </w:p>
          <w:p w14:paraId="7AB81BEE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↔</w:t>
            </w:r>
          </w:p>
          <w:p w14:paraId="04146596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>С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1D89E32B" w14:textId="77777777" w:rsidR="000660E5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Ралтегравир</w:t>
            </w:r>
          </w:p>
          <w:p w14:paraId="4DDC9A86" w14:textId="77777777" w:rsidR="000660E5" w:rsidRPr="007469A4" w:rsidRDefault="000660E5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2320DF79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3F29E1CD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↓ 21%</w:t>
            </w:r>
          </w:p>
          <w:p w14:paraId="44C83BD5" w14:textId="77777777" w:rsidR="000660E5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Эмтрицитабин</w:t>
            </w:r>
          </w:p>
          <w:p w14:paraId="50AC235C" w14:textId="77777777" w:rsidR="000660E5" w:rsidRPr="007469A4" w:rsidRDefault="000660E5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76D5571C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717BD371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366B8313" w14:textId="77777777" w:rsidR="000660E5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Тенофовир</w:t>
            </w:r>
          </w:p>
          <w:p w14:paraId="55902E77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↑ 40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17537EC6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↑ 46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793328D9" w14:textId="77777777" w:rsidR="00227076" w:rsidRPr="007469A4" w:rsidRDefault="000660E5" w:rsidP="00CA1EC1">
            <w:pPr>
              <w:spacing w:after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70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</w:tc>
        <w:tc>
          <w:tcPr>
            <w:tcW w:w="1896" w:type="pct"/>
            <w:gridSpan w:val="2"/>
          </w:tcPr>
          <w:p w14:paraId="3AB31281" w14:textId="77777777" w:rsidR="00A8446B" w:rsidRDefault="00292FE7" w:rsidP="00A8446B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 xml:space="preserve">Коррекция дозы не рекомендуется. Повышение экспозиции тенофовира может усилить нежелательные реакции на тенофовира дизопроксила фумарат, </w:t>
            </w:r>
            <w:r w:rsidR="002840C4" w:rsidRPr="007469A4">
              <w:rPr>
                <w:sz w:val="22"/>
                <w:szCs w:val="22"/>
              </w:rPr>
              <w:t>в т.ч.</w:t>
            </w:r>
            <w:r w:rsidRPr="007469A4">
              <w:rPr>
                <w:sz w:val="22"/>
                <w:szCs w:val="22"/>
              </w:rPr>
              <w:t xml:space="preserve"> нарушения со стороны почек и мочевыводящих путей. Следует тщательно следить за функцией почек </w:t>
            </w:r>
          </w:p>
          <w:p w14:paraId="02D9BA81" w14:textId="77777777" w:rsidR="00227076" w:rsidRPr="007469A4" w:rsidRDefault="00292FE7" w:rsidP="00A8446B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227076" w:rsidRPr="007469A4" w14:paraId="6D8D5271" w14:textId="77777777" w:rsidTr="00170EF3">
        <w:tc>
          <w:tcPr>
            <w:tcW w:w="1508" w:type="pct"/>
          </w:tcPr>
          <w:p w14:paraId="79096394" w14:textId="77777777" w:rsidR="00887DAD" w:rsidRDefault="00856856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Велпатасвир/Софосбувир (100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мг/400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887DAD">
              <w:rPr>
                <w:sz w:val="22"/>
                <w:szCs w:val="22"/>
              </w:rPr>
              <w:t> </w:t>
            </w:r>
            <w:r w:rsidR="00170EF3">
              <w:rPr>
                <w:sz w:val="22"/>
                <w:szCs w:val="22"/>
              </w:rPr>
              <w:t>+</w:t>
            </w:r>
          </w:p>
          <w:p w14:paraId="783E12FB" w14:textId="77777777" w:rsidR="00227076" w:rsidRPr="007469A4" w:rsidRDefault="00856856" w:rsidP="00136B39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Тенофовира дизопроксила фумарат/Эмтрицитабин/</w:t>
            </w:r>
            <w:r w:rsidR="00887DAD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Эфавиренз (300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мг/200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мг/600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</w:p>
        </w:tc>
        <w:tc>
          <w:tcPr>
            <w:tcW w:w="1596" w:type="pct"/>
            <w:gridSpan w:val="2"/>
          </w:tcPr>
          <w:p w14:paraId="006B2EE2" w14:textId="77777777" w:rsidR="000660E5" w:rsidRPr="007469A4" w:rsidRDefault="00F26FFF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Софосбувир</w:t>
            </w:r>
          </w:p>
          <w:p w14:paraId="2AF245C8" w14:textId="77777777" w:rsidR="000660E5" w:rsidRPr="007469A4" w:rsidRDefault="000660E5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2B6BCD8B" w14:textId="77777777" w:rsidR="000660E5" w:rsidRPr="007469A4" w:rsidRDefault="000660E5" w:rsidP="00CA1EC1">
            <w:pPr>
              <w:pStyle w:val="Style177"/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proofErr w:type="gramStart"/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Pr="007469A4">
              <w:rPr>
                <w:bCs/>
                <w:sz w:val="22"/>
                <w:szCs w:val="22"/>
                <w:vertAlign w:val="superscript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 </w:t>
            </w:r>
            <w:r w:rsidRPr="007469A4">
              <w:rPr>
                <w:sz w:val="22"/>
                <w:szCs w:val="22"/>
              </w:rPr>
              <w:t>↑</w:t>
            </w:r>
            <w:proofErr w:type="gramEnd"/>
            <w:r w:rsidRPr="007469A4">
              <w:rPr>
                <w:sz w:val="22"/>
                <w:szCs w:val="22"/>
              </w:rPr>
              <w:t xml:space="preserve"> 38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61B92233" w14:textId="77777777" w:rsidR="000660E5" w:rsidRPr="007469A4" w:rsidRDefault="000660E5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GS</w:t>
            </w:r>
            <w:r w:rsidRPr="007469A4">
              <w:rPr>
                <w:sz w:val="22"/>
                <w:szCs w:val="22"/>
              </w:rPr>
              <w:t>-331007</w:t>
            </w:r>
            <w:r w:rsidRPr="007469A4">
              <w:rPr>
                <w:sz w:val="22"/>
                <w:szCs w:val="22"/>
                <w:vertAlign w:val="superscript"/>
              </w:rPr>
              <w:t>2</w:t>
            </w:r>
          </w:p>
          <w:p w14:paraId="1661F8C7" w14:textId="77777777" w:rsidR="000660E5" w:rsidRPr="007469A4" w:rsidRDefault="000660E5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479197D9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377B4A75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0FE43031" w14:textId="77777777" w:rsidR="000660E5" w:rsidRPr="007469A4" w:rsidRDefault="000660E5" w:rsidP="00CA1EC1">
            <w:pPr>
              <w:spacing w:before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Велпатасвир</w:t>
            </w:r>
          </w:p>
          <w:p w14:paraId="4019786E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↓ 53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2C2DE961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↓ 47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785F0AC6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↓ 57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712D3447" w14:textId="77777777" w:rsidR="000660E5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Эфавиренз</w:t>
            </w:r>
          </w:p>
          <w:p w14:paraId="6E3B8CCA" w14:textId="77777777" w:rsidR="000660E5" w:rsidRPr="007469A4" w:rsidRDefault="000660E5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7D950B1A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59D7F009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4C207265" w14:textId="77777777" w:rsidR="000660E5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Эмтрицитабин</w:t>
            </w:r>
          </w:p>
          <w:p w14:paraId="13D16077" w14:textId="77777777" w:rsidR="000660E5" w:rsidRPr="007469A4" w:rsidRDefault="000660E5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626E6B8D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4120F483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28511BD6" w14:textId="77777777" w:rsidR="000660E5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Тенофовир</w:t>
            </w:r>
          </w:p>
          <w:p w14:paraId="4AA596D7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↑ 81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4D98957D" w14:textId="77777777" w:rsidR="000660E5" w:rsidRPr="007469A4" w:rsidRDefault="000660E5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↑ 77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71ABBF03" w14:textId="77777777" w:rsidR="00227076" w:rsidRPr="007469A4" w:rsidRDefault="000660E5" w:rsidP="00CA1EC1">
            <w:pPr>
              <w:spacing w:after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121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</w:tc>
        <w:tc>
          <w:tcPr>
            <w:tcW w:w="1896" w:type="pct"/>
            <w:gridSpan w:val="2"/>
          </w:tcPr>
          <w:p w14:paraId="64CBD7CA" w14:textId="77777777" w:rsidR="00292FE7" w:rsidRPr="007469A4" w:rsidRDefault="00292FE7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Одновременный прием препаратов велпатасвир/софосбувир и эфавиренз может снизить концентрации велпатасвира в плазме</w:t>
            </w:r>
            <w:r w:rsidR="00D11C8B">
              <w:rPr>
                <w:sz w:val="22"/>
                <w:szCs w:val="22"/>
              </w:rPr>
              <w:t xml:space="preserve"> крови</w:t>
            </w:r>
            <w:r w:rsidRPr="007469A4">
              <w:rPr>
                <w:sz w:val="22"/>
                <w:szCs w:val="22"/>
              </w:rPr>
              <w:t>.</w:t>
            </w:r>
          </w:p>
          <w:p w14:paraId="7B224A67" w14:textId="77777777" w:rsidR="00227076" w:rsidRPr="007469A4" w:rsidRDefault="00292FE7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Одновременный прием препарата велпатасвир/софосбувир с режимами терапии, включающими эфавиренз, не рекомендуется</w:t>
            </w:r>
          </w:p>
        </w:tc>
      </w:tr>
      <w:tr w:rsidR="00227076" w:rsidRPr="007469A4" w14:paraId="06F87590" w14:textId="77777777" w:rsidTr="00170EF3">
        <w:tc>
          <w:tcPr>
            <w:tcW w:w="1508" w:type="pct"/>
          </w:tcPr>
          <w:p w14:paraId="61A0B129" w14:textId="77777777" w:rsidR="00887DAD" w:rsidRDefault="00856856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Велпатасвир/Софосбувир (100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мг/400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887DAD">
              <w:rPr>
                <w:sz w:val="22"/>
                <w:szCs w:val="22"/>
              </w:rPr>
              <w:t> </w:t>
            </w:r>
            <w:r w:rsidR="00170EF3">
              <w:rPr>
                <w:sz w:val="22"/>
                <w:szCs w:val="22"/>
              </w:rPr>
              <w:t>+</w:t>
            </w:r>
          </w:p>
          <w:p w14:paraId="6CB95253" w14:textId="77777777" w:rsidR="00227076" w:rsidRPr="007469A4" w:rsidRDefault="00856856" w:rsidP="00136B39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Рилпивирин/Тенофовира дизопроксила фумарат/</w:t>
            </w:r>
            <w:r w:rsidR="00887DAD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lastRenderedPageBreak/>
              <w:t>Эмтрицитабин (25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мг/300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мг/200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</w:p>
        </w:tc>
        <w:tc>
          <w:tcPr>
            <w:tcW w:w="1596" w:type="pct"/>
            <w:gridSpan w:val="2"/>
          </w:tcPr>
          <w:p w14:paraId="1C983197" w14:textId="77777777" w:rsidR="007F739C" w:rsidRPr="007469A4" w:rsidRDefault="00F26FFF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Софосбувир</w:t>
            </w:r>
          </w:p>
          <w:p w14:paraId="15B33604" w14:textId="77777777" w:rsidR="007F739C" w:rsidRPr="007469A4" w:rsidRDefault="007F739C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72BE7DC" w14:textId="77777777" w:rsidR="007F739C" w:rsidRPr="007469A4" w:rsidRDefault="007F739C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0A6AA370" w14:textId="77777777" w:rsidR="007F739C" w:rsidRPr="007469A4" w:rsidRDefault="007F739C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GS</w:t>
            </w:r>
            <w:r w:rsidRPr="007469A4">
              <w:rPr>
                <w:sz w:val="22"/>
                <w:szCs w:val="22"/>
              </w:rPr>
              <w:t>-331007</w:t>
            </w:r>
            <w:r w:rsidRPr="007469A4">
              <w:rPr>
                <w:sz w:val="22"/>
                <w:szCs w:val="22"/>
                <w:vertAlign w:val="superscript"/>
              </w:rPr>
              <w:t>2</w:t>
            </w:r>
          </w:p>
          <w:p w14:paraId="380CC23A" w14:textId="77777777" w:rsidR="007F739C" w:rsidRPr="007469A4" w:rsidRDefault="007F739C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5C83E9EF" w14:textId="77777777" w:rsidR="007F739C" w:rsidRPr="007469A4" w:rsidRDefault="007F739C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lastRenderedPageBreak/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4BB25EE0" w14:textId="77777777" w:rsidR="007F739C" w:rsidRPr="007469A4" w:rsidRDefault="007F739C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14EE842E" w14:textId="77777777" w:rsidR="007F739C" w:rsidRPr="007469A4" w:rsidRDefault="007F739C" w:rsidP="00CA1EC1">
            <w:pPr>
              <w:spacing w:before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Велпатасвир</w:t>
            </w:r>
          </w:p>
          <w:p w14:paraId="1D519328" w14:textId="77777777" w:rsidR="007F739C" w:rsidRPr="007469A4" w:rsidRDefault="007F739C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↔</w:t>
            </w:r>
          </w:p>
          <w:p w14:paraId="5D873315" w14:textId="77777777" w:rsidR="007F739C" w:rsidRPr="007469A4" w:rsidRDefault="007F739C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↔</w:t>
            </w:r>
          </w:p>
          <w:p w14:paraId="26BF8665" w14:textId="77777777" w:rsidR="007F739C" w:rsidRPr="007469A4" w:rsidRDefault="007F739C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1C939B66" w14:textId="77777777" w:rsidR="007F739C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Эмтрицитабин</w:t>
            </w:r>
          </w:p>
          <w:p w14:paraId="65BD4F33" w14:textId="77777777" w:rsidR="007F739C" w:rsidRPr="007469A4" w:rsidRDefault="007F739C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2A944BBE" w14:textId="77777777" w:rsidR="007F739C" w:rsidRPr="007469A4" w:rsidRDefault="007F739C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62A874D" w14:textId="77777777" w:rsidR="007F739C" w:rsidRPr="007469A4" w:rsidRDefault="007F739C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78954F30" w14:textId="77777777" w:rsidR="007F739C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Рилпивирин</w:t>
            </w:r>
          </w:p>
          <w:p w14:paraId="130BE9D0" w14:textId="77777777" w:rsidR="007F739C" w:rsidRPr="007469A4" w:rsidRDefault="007F739C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4B159053" w14:textId="77777777" w:rsidR="007F739C" w:rsidRPr="007469A4" w:rsidRDefault="007F739C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54EB019" w14:textId="77777777" w:rsidR="007F739C" w:rsidRPr="007469A4" w:rsidRDefault="007F739C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↔</w:t>
            </w:r>
          </w:p>
          <w:p w14:paraId="06C670CC" w14:textId="77777777" w:rsidR="007F739C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Тенофовир</w:t>
            </w:r>
          </w:p>
          <w:p w14:paraId="05E2010E" w14:textId="77777777" w:rsidR="007F739C" w:rsidRPr="007469A4" w:rsidRDefault="007F739C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AUC: ↑ 40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4A4F1960" w14:textId="77777777" w:rsidR="007F739C" w:rsidRPr="007469A4" w:rsidRDefault="007F739C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↑ 44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578D66EB" w14:textId="77777777" w:rsidR="00227076" w:rsidRPr="007469A4" w:rsidRDefault="007F739C" w:rsidP="00CA1EC1">
            <w:pPr>
              <w:spacing w:after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>: ↑ 84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</w:tc>
        <w:tc>
          <w:tcPr>
            <w:tcW w:w="1896" w:type="pct"/>
            <w:gridSpan w:val="2"/>
          </w:tcPr>
          <w:p w14:paraId="66B2268D" w14:textId="77777777" w:rsidR="00A8446B" w:rsidRDefault="00545693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 xml:space="preserve">Коррекция дозы не рекомендуется. Повышение экспозиции тенофовира может усилить нежелательные реакции на тенофовира дизопроксила фумарат, </w:t>
            </w:r>
            <w:r w:rsidR="002840C4" w:rsidRPr="007469A4">
              <w:rPr>
                <w:sz w:val="22"/>
                <w:szCs w:val="22"/>
              </w:rPr>
              <w:t>в т.ч.</w:t>
            </w:r>
            <w:r w:rsidRPr="007469A4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lastRenderedPageBreak/>
              <w:t>нарушения со стороны почек и мочевыводящих путей.</w:t>
            </w:r>
            <w:r w:rsidR="00A8446B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 xml:space="preserve">Следует тщательно следить за функцией почек </w:t>
            </w:r>
          </w:p>
          <w:p w14:paraId="5B7DDF9D" w14:textId="77777777" w:rsidR="00227076" w:rsidRPr="007469A4" w:rsidRDefault="00545693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 «Особые указания»)</w:t>
            </w:r>
          </w:p>
        </w:tc>
      </w:tr>
      <w:tr w:rsidR="00856856" w:rsidRPr="007469A4" w14:paraId="2D413C6D" w14:textId="77777777" w:rsidTr="00170EF3">
        <w:tc>
          <w:tcPr>
            <w:tcW w:w="1508" w:type="pct"/>
          </w:tcPr>
          <w:p w14:paraId="04C2BB88" w14:textId="77777777" w:rsidR="00887DAD" w:rsidRDefault="00856856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>Велпатасвир/Воксилапревир/Софосбувир (100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мг/100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мг/400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A21CAA">
              <w:rPr>
                <w:sz w:val="22"/>
                <w:szCs w:val="22"/>
              </w:rPr>
              <w:t>мг</w:t>
            </w:r>
            <w:r w:rsidR="00BE3062" w:rsidRPr="00A21CAA">
              <w:rPr>
                <w:sz w:val="22"/>
                <w:szCs w:val="22"/>
              </w:rPr>
              <w:t> </w:t>
            </w:r>
            <w:r w:rsidRPr="00A21CAA">
              <w:rPr>
                <w:sz w:val="22"/>
                <w:szCs w:val="22"/>
              </w:rPr>
              <w:t>+</w:t>
            </w:r>
            <w:r w:rsidR="00887DAD" w:rsidRPr="00A21CAA">
              <w:rPr>
                <w:sz w:val="22"/>
                <w:szCs w:val="22"/>
              </w:rPr>
              <w:t xml:space="preserve"> </w:t>
            </w:r>
            <w:r w:rsidRPr="00A21CAA">
              <w:rPr>
                <w:sz w:val="22"/>
                <w:szCs w:val="22"/>
              </w:rPr>
              <w:t>100</w:t>
            </w:r>
            <w:r w:rsidR="00577D9A" w:rsidRPr="00A21CAA">
              <w:rPr>
                <w:sz w:val="22"/>
                <w:szCs w:val="22"/>
              </w:rPr>
              <w:t> </w:t>
            </w:r>
            <w:r w:rsidRPr="00A21CAA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B923DE" w:rsidRPr="007469A4">
              <w:rPr>
                <w:sz w:val="22"/>
                <w:szCs w:val="22"/>
                <w:vertAlign w:val="superscript"/>
              </w:rPr>
              <w:t>3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+</w:t>
            </w:r>
          </w:p>
          <w:p w14:paraId="3DA0F5F2" w14:textId="77777777" w:rsidR="00887DAD" w:rsidRDefault="00856856" w:rsidP="00136B39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 xml:space="preserve">Дарунавир </w:t>
            </w:r>
          </w:p>
          <w:p w14:paraId="63081ED4" w14:textId="77777777" w:rsidR="00887DAD" w:rsidRDefault="00856856" w:rsidP="00136B39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(800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="00B923DE"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="00B923DE"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</w:rPr>
              <w:t>)</w:t>
            </w:r>
            <w:r w:rsidR="00887DAD">
              <w:rPr>
                <w:sz w:val="22"/>
                <w:szCs w:val="22"/>
              </w:rPr>
              <w:t> </w:t>
            </w:r>
            <w:r w:rsidR="00170EF3">
              <w:rPr>
                <w:sz w:val="22"/>
                <w:szCs w:val="22"/>
              </w:rPr>
              <w:t>+</w:t>
            </w:r>
          </w:p>
          <w:p w14:paraId="499383A8" w14:textId="77777777" w:rsidR="00887DAD" w:rsidRDefault="00856856" w:rsidP="00136B39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Ритонавир</w:t>
            </w:r>
          </w:p>
          <w:p w14:paraId="3B2E994D" w14:textId="77777777" w:rsidR="00887DAD" w:rsidRDefault="00856856" w:rsidP="00136B39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(100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+</w:t>
            </w:r>
          </w:p>
          <w:p w14:paraId="05BBED94" w14:textId="77777777" w:rsidR="00856856" w:rsidRPr="007469A4" w:rsidRDefault="00856856" w:rsidP="00136B39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Тенофовира дизопроксила фумарат/Эмтрицитабин (300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мг/200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</w:t>
            </w:r>
            <w:r w:rsidR="00887DAD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</w:p>
        </w:tc>
        <w:tc>
          <w:tcPr>
            <w:tcW w:w="1596" w:type="pct"/>
            <w:gridSpan w:val="2"/>
          </w:tcPr>
          <w:p w14:paraId="1595E8A3" w14:textId="77777777" w:rsidR="0053156A" w:rsidRPr="007469A4" w:rsidRDefault="00F26FFF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Софосбувир</w:t>
            </w:r>
          </w:p>
          <w:p w14:paraId="330A6C97" w14:textId="77777777" w:rsidR="0053156A" w:rsidRPr="007469A4" w:rsidRDefault="0053156A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31F49940" w14:textId="77777777" w:rsidR="0053156A" w:rsidRPr="007469A4" w:rsidRDefault="0053156A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↓ 30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0FA7EF2A" w14:textId="77777777" w:rsidR="0053156A" w:rsidRPr="007469A4" w:rsidRDefault="0053156A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 xml:space="preserve">: </w:t>
            </w:r>
            <w:r w:rsidRPr="007469A4">
              <w:rPr>
                <w:sz w:val="22"/>
                <w:szCs w:val="22"/>
                <w:lang w:val="en-US"/>
              </w:rPr>
              <w:t>N</w:t>
            </w:r>
            <w:r w:rsidR="00B923DE" w:rsidRPr="007469A4">
              <w:rPr>
                <w:sz w:val="22"/>
                <w:szCs w:val="22"/>
              </w:rPr>
              <w:t>/</w:t>
            </w:r>
            <w:r w:rsidRPr="007469A4">
              <w:rPr>
                <w:sz w:val="22"/>
                <w:szCs w:val="22"/>
                <w:lang w:val="en-US"/>
              </w:rPr>
              <w:t>A</w:t>
            </w:r>
          </w:p>
          <w:p w14:paraId="388ED99A" w14:textId="77777777" w:rsidR="0053156A" w:rsidRPr="008F4FDC" w:rsidRDefault="0053156A" w:rsidP="00CA1EC1">
            <w:pPr>
              <w:pStyle w:val="Style177"/>
              <w:tabs>
                <w:tab w:val="center" w:pos="4677"/>
                <w:tab w:val="right" w:pos="9355"/>
              </w:tabs>
              <w:spacing w:before="120"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  <w:lang w:val="en-US"/>
              </w:rPr>
              <w:t>GS</w:t>
            </w:r>
            <w:r w:rsidR="00B923DE" w:rsidRPr="008F4FDC">
              <w:rPr>
                <w:sz w:val="22"/>
                <w:szCs w:val="22"/>
                <w:lang w:val="en-US"/>
              </w:rPr>
              <w:t>-331007</w:t>
            </w:r>
            <w:r w:rsidR="00B923DE" w:rsidRPr="008F4FDC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  <w:p w14:paraId="5B3EBD63" w14:textId="77777777" w:rsidR="0053156A" w:rsidRPr="008F4FDC" w:rsidRDefault="0053156A" w:rsidP="00CA1EC1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="00B923DE" w:rsidRPr="008F4FDC">
              <w:rPr>
                <w:spacing w:val="-20"/>
                <w:sz w:val="22"/>
                <w:szCs w:val="22"/>
                <w:lang w:val="en-US" w:eastAsia="en-US"/>
              </w:rPr>
              <w:t>:</w:t>
            </w:r>
            <w:r w:rsidR="00B923DE" w:rsidRPr="008F4FDC">
              <w:rPr>
                <w:sz w:val="22"/>
                <w:szCs w:val="22"/>
                <w:lang w:val="en-US" w:eastAsia="en-US"/>
              </w:rPr>
              <w:t xml:space="preserve"> </w:t>
            </w:r>
            <w:r w:rsidR="00B923DE" w:rsidRPr="008F4FDC">
              <w:rPr>
                <w:sz w:val="22"/>
                <w:szCs w:val="22"/>
                <w:lang w:val="en-US"/>
              </w:rPr>
              <w:t>↔</w:t>
            </w:r>
          </w:p>
          <w:p w14:paraId="10F47402" w14:textId="77777777" w:rsidR="0053156A" w:rsidRPr="008F4FDC" w:rsidRDefault="0053156A" w:rsidP="00CA1EC1">
            <w:pPr>
              <w:pStyle w:val="Style177"/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8F4FDC">
              <w:rPr>
                <w:bCs/>
                <w:sz w:val="22"/>
                <w:szCs w:val="22"/>
                <w:lang w:val="en-US"/>
              </w:rPr>
              <w:t xml:space="preserve">: </w:t>
            </w:r>
            <w:r w:rsidR="00B923DE" w:rsidRPr="008F4FDC">
              <w:rPr>
                <w:sz w:val="22"/>
                <w:szCs w:val="22"/>
                <w:lang w:val="en-US"/>
              </w:rPr>
              <w:t>↔</w:t>
            </w:r>
          </w:p>
          <w:p w14:paraId="0D131991" w14:textId="77777777" w:rsidR="0053156A" w:rsidRPr="008F4FDC" w:rsidRDefault="00B923DE" w:rsidP="00CA1EC1">
            <w:pPr>
              <w:pStyle w:val="Style177"/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  <w:lang w:val="en-US"/>
              </w:rPr>
              <w:t>C</w:t>
            </w:r>
            <w:r w:rsidRPr="007469A4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8F4FDC">
              <w:rPr>
                <w:sz w:val="22"/>
                <w:szCs w:val="22"/>
                <w:lang w:val="en-US"/>
              </w:rPr>
              <w:t xml:space="preserve">: </w:t>
            </w:r>
            <w:r w:rsidR="0053156A" w:rsidRPr="007469A4">
              <w:rPr>
                <w:sz w:val="22"/>
                <w:szCs w:val="22"/>
                <w:lang w:val="en-US"/>
              </w:rPr>
              <w:t>N</w:t>
            </w:r>
            <w:r w:rsidR="0053156A" w:rsidRPr="008F4FDC">
              <w:rPr>
                <w:sz w:val="22"/>
                <w:szCs w:val="22"/>
                <w:lang w:val="en-US"/>
              </w:rPr>
              <w:t>/</w:t>
            </w:r>
            <w:r w:rsidR="0053156A" w:rsidRPr="007469A4">
              <w:rPr>
                <w:sz w:val="22"/>
                <w:szCs w:val="22"/>
                <w:lang w:val="en-US"/>
              </w:rPr>
              <w:t>A</w:t>
            </w:r>
          </w:p>
          <w:p w14:paraId="30C882EE" w14:textId="77777777" w:rsidR="0053156A" w:rsidRPr="008F4FDC" w:rsidRDefault="0053156A" w:rsidP="00CA1EC1">
            <w:pPr>
              <w:spacing w:before="120" w:line="276" w:lineRule="auto"/>
              <w:rPr>
                <w:spacing w:val="-20"/>
                <w:sz w:val="22"/>
                <w:szCs w:val="22"/>
                <w:lang w:val="en-US" w:eastAsia="en-US"/>
              </w:rPr>
            </w:pPr>
            <w:r w:rsidRPr="007469A4">
              <w:rPr>
                <w:sz w:val="22"/>
                <w:szCs w:val="22"/>
              </w:rPr>
              <w:t>Велпатасвир</w:t>
            </w:r>
          </w:p>
          <w:p w14:paraId="1753A13B" w14:textId="77777777" w:rsidR="0053156A" w:rsidRPr="008F4FDC" w:rsidRDefault="00B923DE" w:rsidP="00CA1EC1">
            <w:pPr>
              <w:pStyle w:val="Style177"/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  <w:lang w:val="en-US"/>
              </w:rPr>
              <w:t>AUC</w:t>
            </w:r>
            <w:r w:rsidRPr="008F4FDC">
              <w:rPr>
                <w:sz w:val="22"/>
                <w:szCs w:val="22"/>
                <w:lang w:val="en-US"/>
              </w:rPr>
              <w:t>: ↔</w:t>
            </w:r>
          </w:p>
          <w:p w14:paraId="7E5D13D2" w14:textId="77777777" w:rsidR="0053156A" w:rsidRPr="008F4FDC" w:rsidRDefault="0053156A" w:rsidP="00CA1EC1">
            <w:pPr>
              <w:pStyle w:val="Style177"/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</w:rPr>
              <w:t>С</w:t>
            </w:r>
            <w:r w:rsidR="00B923DE" w:rsidRPr="007469A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469A4">
              <w:rPr>
                <w:sz w:val="22"/>
                <w:szCs w:val="22"/>
                <w:vertAlign w:val="subscript"/>
              </w:rPr>
              <w:t>ах</w:t>
            </w:r>
            <w:r w:rsidR="00B923DE" w:rsidRPr="008F4FDC">
              <w:rPr>
                <w:sz w:val="22"/>
                <w:szCs w:val="22"/>
                <w:lang w:val="en-US"/>
              </w:rPr>
              <w:t>: ↔</w:t>
            </w:r>
          </w:p>
          <w:p w14:paraId="53CE52C1" w14:textId="77777777" w:rsidR="0053156A" w:rsidRPr="008F4FDC" w:rsidRDefault="0053156A" w:rsidP="00CA1EC1">
            <w:pPr>
              <w:pStyle w:val="Style177"/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</w:rPr>
              <w:t>С</w:t>
            </w:r>
            <w:r w:rsidR="00B923DE" w:rsidRPr="007469A4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="00B923DE" w:rsidRPr="008F4FDC">
              <w:rPr>
                <w:sz w:val="22"/>
                <w:szCs w:val="22"/>
                <w:lang w:val="en-US"/>
              </w:rPr>
              <w:t>: ↔</w:t>
            </w:r>
          </w:p>
          <w:p w14:paraId="2D498C82" w14:textId="77777777" w:rsidR="0053156A" w:rsidRPr="008F4FDC" w:rsidRDefault="0053156A" w:rsidP="00CA1EC1">
            <w:pPr>
              <w:pStyle w:val="Style177"/>
              <w:spacing w:before="120"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</w:rPr>
              <w:t>Воксилапревир</w:t>
            </w:r>
          </w:p>
          <w:p w14:paraId="79A01B42" w14:textId="77777777" w:rsidR="0053156A" w:rsidRPr="007469A4" w:rsidRDefault="00B923DE" w:rsidP="00CA1EC1">
            <w:pPr>
              <w:pStyle w:val="Style177"/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  <w:lang w:val="en-US"/>
              </w:rPr>
              <w:t>AUC: ↑ 143 %</w:t>
            </w:r>
          </w:p>
          <w:p w14:paraId="0E42B07C" w14:textId="77777777" w:rsidR="0053156A" w:rsidRPr="007469A4" w:rsidRDefault="0053156A" w:rsidP="00CA1EC1">
            <w:pPr>
              <w:pStyle w:val="Style177"/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</w:rPr>
              <w:t>С</w:t>
            </w:r>
            <w:r w:rsidR="00B923DE" w:rsidRPr="007469A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469A4">
              <w:rPr>
                <w:sz w:val="22"/>
                <w:szCs w:val="22"/>
                <w:vertAlign w:val="subscript"/>
              </w:rPr>
              <w:t>ах</w:t>
            </w:r>
            <w:r w:rsidR="00B923DE" w:rsidRPr="007469A4">
              <w:rPr>
                <w:sz w:val="22"/>
                <w:szCs w:val="22"/>
                <w:lang w:val="en-US"/>
              </w:rPr>
              <w:t>: ↑ 72 %</w:t>
            </w:r>
          </w:p>
          <w:p w14:paraId="2F79421D" w14:textId="77777777" w:rsidR="0053156A" w:rsidRPr="007469A4" w:rsidRDefault="00B923DE" w:rsidP="00CA1EC1">
            <w:pPr>
              <w:pStyle w:val="Style177"/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  <w:lang w:val="en-US"/>
              </w:rPr>
              <w:t>C</w:t>
            </w:r>
            <w:r w:rsidRPr="007469A4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7469A4">
              <w:rPr>
                <w:sz w:val="22"/>
                <w:szCs w:val="22"/>
                <w:lang w:val="en-US"/>
              </w:rPr>
              <w:t>: ↑ 300 %</w:t>
            </w:r>
          </w:p>
          <w:p w14:paraId="59EA2DCC" w14:textId="77777777" w:rsidR="0053156A" w:rsidRPr="008F4FDC" w:rsidRDefault="0053156A" w:rsidP="00CA1EC1">
            <w:pPr>
              <w:pStyle w:val="Style177"/>
              <w:spacing w:before="120"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</w:rPr>
              <w:t>Дарунавир</w:t>
            </w:r>
          </w:p>
          <w:p w14:paraId="07EBCE18" w14:textId="77777777" w:rsidR="0053156A" w:rsidRPr="007469A4" w:rsidRDefault="0053156A" w:rsidP="00CA1EC1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="00B923DE" w:rsidRPr="007469A4">
              <w:rPr>
                <w:spacing w:val="-20"/>
                <w:sz w:val="22"/>
                <w:szCs w:val="22"/>
                <w:lang w:val="en-US" w:eastAsia="en-US"/>
              </w:rPr>
              <w:t>:</w:t>
            </w:r>
            <w:r w:rsidR="00B923DE" w:rsidRPr="007469A4">
              <w:rPr>
                <w:sz w:val="22"/>
                <w:szCs w:val="22"/>
                <w:lang w:val="en-US" w:eastAsia="en-US"/>
              </w:rPr>
              <w:t xml:space="preserve"> </w:t>
            </w:r>
            <w:r w:rsidR="00B923DE" w:rsidRPr="007469A4">
              <w:rPr>
                <w:sz w:val="22"/>
                <w:szCs w:val="22"/>
                <w:lang w:val="en-US"/>
              </w:rPr>
              <w:t>↔</w:t>
            </w:r>
          </w:p>
          <w:p w14:paraId="7C4E202B" w14:textId="77777777" w:rsidR="0053156A" w:rsidRPr="007469A4" w:rsidRDefault="0053156A" w:rsidP="00CA1EC1">
            <w:pPr>
              <w:pStyle w:val="Style177"/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  <w:lang w:val="en-US"/>
              </w:rPr>
              <w:t xml:space="preserve">: </w:t>
            </w:r>
            <w:r w:rsidR="00B923DE" w:rsidRPr="007469A4">
              <w:rPr>
                <w:sz w:val="22"/>
                <w:szCs w:val="22"/>
                <w:lang w:val="en-US"/>
              </w:rPr>
              <w:t>↔</w:t>
            </w:r>
          </w:p>
          <w:p w14:paraId="5C350D54" w14:textId="77777777" w:rsidR="0053156A" w:rsidRPr="007469A4" w:rsidRDefault="00B923DE" w:rsidP="00CA1EC1">
            <w:pPr>
              <w:pStyle w:val="Style177"/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  <w:lang w:val="en-US"/>
              </w:rPr>
              <w:t>C</w:t>
            </w:r>
            <w:r w:rsidRPr="007469A4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7469A4">
              <w:rPr>
                <w:sz w:val="22"/>
                <w:szCs w:val="22"/>
                <w:lang w:val="en-US"/>
              </w:rPr>
              <w:t xml:space="preserve">: </w:t>
            </w:r>
            <w:r w:rsidR="00C349A9" w:rsidRPr="00C349A9">
              <w:rPr>
                <w:sz w:val="22"/>
                <w:szCs w:val="22"/>
                <w:lang w:val="en-US"/>
              </w:rPr>
              <w:t>↓</w:t>
            </w:r>
            <w:r w:rsidRPr="007469A4">
              <w:rPr>
                <w:sz w:val="22"/>
                <w:szCs w:val="22"/>
                <w:lang w:val="en-US"/>
              </w:rPr>
              <w:t xml:space="preserve"> 34 %</w:t>
            </w:r>
          </w:p>
          <w:p w14:paraId="7A4D2528" w14:textId="77777777" w:rsidR="0053156A" w:rsidRPr="008F4FDC" w:rsidRDefault="0053156A" w:rsidP="00CA1EC1">
            <w:pPr>
              <w:pStyle w:val="Style177"/>
              <w:spacing w:before="120"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</w:rPr>
              <w:t>Ритонавир</w:t>
            </w:r>
          </w:p>
          <w:p w14:paraId="7C9760F8" w14:textId="77777777" w:rsidR="0053156A" w:rsidRPr="007469A4" w:rsidRDefault="00B923DE" w:rsidP="00CA1EC1">
            <w:pPr>
              <w:pStyle w:val="Style177"/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  <w:lang w:val="en-US"/>
              </w:rPr>
              <w:t>AUC: ↑ 45 %</w:t>
            </w:r>
          </w:p>
          <w:p w14:paraId="56700A98" w14:textId="77777777" w:rsidR="0053156A" w:rsidRPr="007469A4" w:rsidRDefault="0053156A" w:rsidP="00CA1EC1">
            <w:pPr>
              <w:pStyle w:val="Style177"/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</w:rPr>
              <w:t>С</w:t>
            </w:r>
            <w:r w:rsidR="00B923DE" w:rsidRPr="007469A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469A4">
              <w:rPr>
                <w:sz w:val="22"/>
                <w:szCs w:val="22"/>
                <w:vertAlign w:val="subscript"/>
              </w:rPr>
              <w:t>ах</w:t>
            </w:r>
            <w:r w:rsidR="00B923DE" w:rsidRPr="007469A4">
              <w:rPr>
                <w:sz w:val="22"/>
                <w:szCs w:val="22"/>
                <w:lang w:val="en-US"/>
              </w:rPr>
              <w:t>: ↑ 60 %</w:t>
            </w:r>
          </w:p>
          <w:p w14:paraId="235356D7" w14:textId="77777777" w:rsidR="0053156A" w:rsidRPr="007469A4" w:rsidRDefault="00B923DE" w:rsidP="00CA1EC1">
            <w:pPr>
              <w:pStyle w:val="Style177"/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  <w:lang w:val="en-US"/>
              </w:rPr>
              <w:lastRenderedPageBreak/>
              <w:t>C</w:t>
            </w:r>
            <w:r w:rsidRPr="007469A4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7469A4">
              <w:rPr>
                <w:sz w:val="22"/>
                <w:szCs w:val="22"/>
                <w:lang w:val="en-US"/>
              </w:rPr>
              <w:t>: ↔</w:t>
            </w:r>
          </w:p>
          <w:p w14:paraId="4F3745FA" w14:textId="77777777" w:rsidR="0053156A" w:rsidRPr="008F4FDC" w:rsidRDefault="0053156A" w:rsidP="00CA1EC1">
            <w:pPr>
              <w:pStyle w:val="Style177"/>
              <w:spacing w:before="120"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</w:rPr>
              <w:t>Эмтрицитабин</w:t>
            </w:r>
          </w:p>
          <w:p w14:paraId="168479CA" w14:textId="77777777" w:rsidR="0053156A" w:rsidRPr="007469A4" w:rsidRDefault="0053156A" w:rsidP="00CA1EC1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="00B923DE" w:rsidRPr="007469A4">
              <w:rPr>
                <w:spacing w:val="-20"/>
                <w:sz w:val="22"/>
                <w:szCs w:val="22"/>
                <w:lang w:val="en-US" w:eastAsia="en-US"/>
              </w:rPr>
              <w:t>:</w:t>
            </w:r>
            <w:r w:rsidR="00B923DE" w:rsidRPr="007469A4">
              <w:rPr>
                <w:sz w:val="22"/>
                <w:szCs w:val="22"/>
                <w:lang w:val="en-US" w:eastAsia="en-US"/>
              </w:rPr>
              <w:t xml:space="preserve"> </w:t>
            </w:r>
            <w:r w:rsidR="00B923DE" w:rsidRPr="007469A4">
              <w:rPr>
                <w:sz w:val="22"/>
                <w:szCs w:val="22"/>
                <w:lang w:val="en-US"/>
              </w:rPr>
              <w:t>↔</w:t>
            </w:r>
          </w:p>
          <w:p w14:paraId="7340F86C" w14:textId="77777777" w:rsidR="0053156A" w:rsidRPr="007469A4" w:rsidRDefault="0053156A" w:rsidP="00CA1EC1">
            <w:pPr>
              <w:pStyle w:val="Style177"/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  <w:lang w:val="en-US"/>
              </w:rPr>
              <w:t xml:space="preserve">: </w:t>
            </w:r>
            <w:r w:rsidR="00B923DE" w:rsidRPr="007469A4">
              <w:rPr>
                <w:sz w:val="22"/>
                <w:szCs w:val="22"/>
                <w:lang w:val="en-US"/>
              </w:rPr>
              <w:t>↔</w:t>
            </w:r>
          </w:p>
          <w:p w14:paraId="1E87305C" w14:textId="77777777" w:rsidR="0053156A" w:rsidRPr="007469A4" w:rsidRDefault="00B923DE" w:rsidP="00CA1EC1">
            <w:pPr>
              <w:pStyle w:val="Style177"/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  <w:lang w:val="en-US"/>
              </w:rPr>
              <w:t>C</w:t>
            </w:r>
            <w:r w:rsidRPr="007469A4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7469A4">
              <w:rPr>
                <w:sz w:val="22"/>
                <w:szCs w:val="22"/>
                <w:lang w:val="en-US"/>
              </w:rPr>
              <w:t>: ↔</w:t>
            </w:r>
          </w:p>
          <w:p w14:paraId="43570D44" w14:textId="77777777" w:rsidR="0053156A" w:rsidRPr="008F4FDC" w:rsidRDefault="0053156A" w:rsidP="00CA1EC1">
            <w:pPr>
              <w:pStyle w:val="Style177"/>
              <w:spacing w:before="120"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</w:rPr>
              <w:t>Тенофовир</w:t>
            </w:r>
          </w:p>
          <w:p w14:paraId="7DA4CD5B" w14:textId="77777777" w:rsidR="0053156A" w:rsidRPr="008F4FDC" w:rsidRDefault="0053156A" w:rsidP="00CA1EC1">
            <w:pPr>
              <w:pStyle w:val="Style177"/>
              <w:spacing w:line="276" w:lineRule="auto"/>
              <w:rPr>
                <w:sz w:val="22"/>
                <w:szCs w:val="22"/>
                <w:lang w:val="en-US"/>
              </w:rPr>
            </w:pPr>
            <w:r w:rsidRPr="008F4FDC">
              <w:rPr>
                <w:sz w:val="22"/>
                <w:szCs w:val="22"/>
                <w:lang w:val="en-US"/>
              </w:rPr>
              <w:t>AUC: ↑ 39</w:t>
            </w:r>
            <w:r w:rsidR="00577D9A" w:rsidRPr="008F4FDC">
              <w:rPr>
                <w:sz w:val="22"/>
                <w:szCs w:val="22"/>
                <w:lang w:val="en-US"/>
              </w:rPr>
              <w:t> </w:t>
            </w:r>
            <w:r w:rsidRPr="008F4FDC">
              <w:rPr>
                <w:sz w:val="22"/>
                <w:szCs w:val="22"/>
                <w:lang w:val="en-US"/>
              </w:rPr>
              <w:t>%</w:t>
            </w:r>
          </w:p>
          <w:p w14:paraId="36670C3A" w14:textId="77777777" w:rsidR="0053156A" w:rsidRPr="008F4FDC" w:rsidRDefault="0053156A" w:rsidP="00CA1EC1">
            <w:pPr>
              <w:pStyle w:val="Style177"/>
              <w:spacing w:line="276" w:lineRule="auto"/>
              <w:rPr>
                <w:sz w:val="22"/>
                <w:szCs w:val="22"/>
                <w:lang w:val="en-US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8F4FDC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469A4">
              <w:rPr>
                <w:sz w:val="22"/>
                <w:szCs w:val="22"/>
                <w:vertAlign w:val="subscript"/>
              </w:rPr>
              <w:t>ах</w:t>
            </w:r>
            <w:r w:rsidRPr="008F4FDC">
              <w:rPr>
                <w:sz w:val="22"/>
                <w:szCs w:val="22"/>
                <w:lang w:val="en-US"/>
              </w:rPr>
              <w:t>: ↑ 48</w:t>
            </w:r>
            <w:r w:rsidR="00577D9A" w:rsidRPr="008F4FDC">
              <w:rPr>
                <w:sz w:val="22"/>
                <w:szCs w:val="22"/>
                <w:lang w:val="en-US"/>
              </w:rPr>
              <w:t> </w:t>
            </w:r>
            <w:r w:rsidRPr="008F4FDC">
              <w:rPr>
                <w:sz w:val="22"/>
                <w:szCs w:val="22"/>
                <w:lang w:val="en-US"/>
              </w:rPr>
              <w:t>%</w:t>
            </w:r>
          </w:p>
          <w:p w14:paraId="2A4CE3C4" w14:textId="77777777" w:rsidR="00856856" w:rsidRPr="008F4FDC" w:rsidRDefault="0053156A" w:rsidP="00CA1EC1">
            <w:pPr>
              <w:spacing w:after="120" w:line="276" w:lineRule="auto"/>
              <w:rPr>
                <w:spacing w:val="-20"/>
                <w:sz w:val="22"/>
                <w:szCs w:val="22"/>
                <w:lang w:val="en-US" w:eastAsia="en-US"/>
              </w:rPr>
            </w:pPr>
            <w:r w:rsidRPr="008F4FDC">
              <w:rPr>
                <w:sz w:val="22"/>
                <w:szCs w:val="22"/>
                <w:lang w:val="en-US"/>
              </w:rPr>
              <w:t>C</w:t>
            </w:r>
            <w:r w:rsidRPr="008F4FDC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8F4FDC">
              <w:rPr>
                <w:sz w:val="22"/>
                <w:szCs w:val="22"/>
                <w:lang w:val="en-US"/>
              </w:rPr>
              <w:t>: ↑ 47</w:t>
            </w:r>
            <w:r w:rsidR="00577D9A" w:rsidRPr="008F4FDC">
              <w:rPr>
                <w:sz w:val="22"/>
                <w:szCs w:val="22"/>
                <w:lang w:val="en-US"/>
              </w:rPr>
              <w:t> </w:t>
            </w:r>
            <w:r w:rsidRPr="008F4FD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896" w:type="pct"/>
            <w:gridSpan w:val="2"/>
          </w:tcPr>
          <w:p w14:paraId="62CA8FBF" w14:textId="77777777" w:rsidR="00DB4779" w:rsidRPr="007469A4" w:rsidRDefault="00DB4779" w:rsidP="00A8446B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lastRenderedPageBreak/>
              <w:t>Повышение концентрации тенофовира в плазме</w:t>
            </w:r>
            <w:r w:rsidR="00F26FFF">
              <w:rPr>
                <w:sz w:val="22"/>
                <w:szCs w:val="22"/>
              </w:rPr>
              <w:t xml:space="preserve"> крови</w:t>
            </w:r>
            <w:r w:rsidRPr="007469A4">
              <w:rPr>
                <w:sz w:val="22"/>
                <w:szCs w:val="22"/>
              </w:rPr>
              <w:t xml:space="preserve"> при совместном применении тенофовира дизопроксила фумарата, препаратов велпатасвир/воксилапревир/</w:t>
            </w:r>
            <w:r w:rsidR="00BE3062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 xml:space="preserve">софосбувир и дарунавир/ритонавир может усилить нежелательные реакции, связанные с тенофовира дизопроксила фумаратом, </w:t>
            </w:r>
            <w:r w:rsidR="002840C4" w:rsidRPr="007469A4">
              <w:rPr>
                <w:sz w:val="22"/>
                <w:szCs w:val="22"/>
              </w:rPr>
              <w:t>в т.ч.</w:t>
            </w:r>
            <w:r w:rsidRPr="007469A4">
              <w:rPr>
                <w:sz w:val="22"/>
                <w:szCs w:val="22"/>
              </w:rPr>
              <w:t xml:space="preserve"> нарушения со стороны почек и мочевыводящих путей. Безопасность тенофовира дизопроксила фумарата при совместном применении с велпатасвиром/воксилапревиром/</w:t>
            </w:r>
            <w:r w:rsidR="00A8446B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софосбувиром и бустером (например, ритонавиром или кобицистатом) не установлена.</w:t>
            </w:r>
          </w:p>
          <w:p w14:paraId="0FF97F69" w14:textId="77777777" w:rsidR="00A8446B" w:rsidRDefault="00DB4779" w:rsidP="00A8446B">
            <w:pPr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Комбинация должна</w:t>
            </w:r>
            <w:r w:rsidR="00577D9A" w:rsidRPr="007469A4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использоваться с осторожностью</w:t>
            </w:r>
            <w:r w:rsidR="00A8446B">
              <w:rPr>
                <w:sz w:val="22"/>
                <w:szCs w:val="22"/>
              </w:rPr>
              <w:t>,</w:t>
            </w:r>
            <w:r w:rsidRPr="007469A4">
              <w:rPr>
                <w:sz w:val="22"/>
                <w:szCs w:val="22"/>
              </w:rPr>
              <w:t xml:space="preserve"> с частым мониторингом функции почек </w:t>
            </w:r>
          </w:p>
          <w:p w14:paraId="71999DA2" w14:textId="77777777" w:rsidR="00856856" w:rsidRPr="007469A4" w:rsidRDefault="00DB4779" w:rsidP="00A8446B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(см. разделы «С осторожностью» и «Особые указания»)</w:t>
            </w:r>
          </w:p>
        </w:tc>
      </w:tr>
      <w:tr w:rsidR="00856856" w:rsidRPr="007469A4" w14:paraId="172BD367" w14:textId="77777777" w:rsidTr="00170EF3">
        <w:tc>
          <w:tcPr>
            <w:tcW w:w="1508" w:type="pct"/>
          </w:tcPr>
          <w:p w14:paraId="3AB7DCB7" w14:textId="77777777" w:rsidR="00BE3062" w:rsidRDefault="00B678AF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Соф</w:t>
            </w:r>
            <w:r w:rsidR="00BE3062">
              <w:rPr>
                <w:sz w:val="22"/>
                <w:szCs w:val="22"/>
              </w:rPr>
              <w:t>осбувир</w:t>
            </w:r>
          </w:p>
          <w:p w14:paraId="3A9B3E62" w14:textId="77777777" w:rsidR="00170EF3" w:rsidRDefault="00B678AF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(400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 xml:space="preserve">мг 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  <w:r w:rsidR="00170EF3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+</w:t>
            </w:r>
          </w:p>
          <w:p w14:paraId="70B510A3" w14:textId="77777777" w:rsidR="00856856" w:rsidRPr="007469A4" w:rsidRDefault="00B678AF" w:rsidP="00136B39">
            <w:pPr>
              <w:spacing w:before="6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Тенофовира дизопроксила фумарат/Эмтрицитабин/</w:t>
            </w:r>
            <w:r w:rsidR="00170EF3">
              <w:rPr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Эфавирез (300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мг/200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мг/600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 xml:space="preserve">мг </w:t>
            </w:r>
            <w:r w:rsidRPr="007469A4">
              <w:rPr>
                <w:sz w:val="22"/>
                <w:szCs w:val="22"/>
                <w:lang w:val="en-US"/>
              </w:rPr>
              <w:t>q</w:t>
            </w:r>
            <w:r w:rsidRPr="007469A4">
              <w:rPr>
                <w:sz w:val="22"/>
                <w:szCs w:val="22"/>
              </w:rPr>
              <w:t>.</w:t>
            </w:r>
            <w:r w:rsidRPr="007469A4">
              <w:rPr>
                <w:sz w:val="22"/>
                <w:szCs w:val="22"/>
                <w:lang w:val="en-US"/>
              </w:rPr>
              <w:t>d</w:t>
            </w:r>
            <w:r w:rsidRPr="007469A4">
              <w:rPr>
                <w:sz w:val="22"/>
                <w:szCs w:val="22"/>
              </w:rPr>
              <w:t>.)</w:t>
            </w:r>
          </w:p>
        </w:tc>
        <w:tc>
          <w:tcPr>
            <w:tcW w:w="1596" w:type="pct"/>
            <w:gridSpan w:val="2"/>
          </w:tcPr>
          <w:p w14:paraId="6D4C31A7" w14:textId="77777777" w:rsidR="0053156A" w:rsidRPr="007469A4" w:rsidRDefault="00F26FFF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Софосбувир</w:t>
            </w:r>
          </w:p>
          <w:p w14:paraId="1F19B800" w14:textId="77777777" w:rsidR="0053156A" w:rsidRPr="007469A4" w:rsidRDefault="0053156A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38B493DE" w14:textId="77777777" w:rsidR="0053156A" w:rsidRPr="007469A4" w:rsidRDefault="0053156A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↓ 19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02998A83" w14:textId="77777777" w:rsidR="0053156A" w:rsidRPr="007469A4" w:rsidRDefault="0053156A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GS</w:t>
            </w:r>
            <w:r w:rsidRPr="007469A4">
              <w:rPr>
                <w:sz w:val="22"/>
                <w:szCs w:val="22"/>
              </w:rPr>
              <w:t>-331007</w:t>
            </w:r>
            <w:r w:rsidRPr="007469A4">
              <w:rPr>
                <w:sz w:val="22"/>
                <w:szCs w:val="22"/>
                <w:vertAlign w:val="superscript"/>
              </w:rPr>
              <w:t>2</w:t>
            </w:r>
          </w:p>
          <w:p w14:paraId="5763756B" w14:textId="77777777" w:rsidR="0053156A" w:rsidRPr="007469A4" w:rsidRDefault="0053156A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1D9C5BB3" w14:textId="77777777" w:rsidR="0053156A" w:rsidRPr="007469A4" w:rsidRDefault="0053156A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↓ 23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127693A2" w14:textId="77777777" w:rsidR="0053156A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Эфавиренз</w:t>
            </w:r>
          </w:p>
          <w:p w14:paraId="6A0A6AC4" w14:textId="77777777" w:rsidR="0053156A" w:rsidRPr="007469A4" w:rsidRDefault="00B923D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AUC</w:t>
            </w:r>
            <w:r w:rsidR="0053156A" w:rsidRPr="007469A4">
              <w:rPr>
                <w:sz w:val="22"/>
                <w:szCs w:val="22"/>
              </w:rPr>
              <w:t xml:space="preserve">: </w:t>
            </w:r>
            <w:r w:rsidRPr="007469A4">
              <w:rPr>
                <w:sz w:val="22"/>
                <w:szCs w:val="22"/>
              </w:rPr>
              <w:t>↔</w:t>
            </w:r>
          </w:p>
          <w:p w14:paraId="2CAED4E5" w14:textId="77777777" w:rsidR="0053156A" w:rsidRPr="007469A4" w:rsidRDefault="0053156A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="00B923DE" w:rsidRPr="007469A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469A4">
              <w:rPr>
                <w:sz w:val="22"/>
                <w:szCs w:val="22"/>
                <w:vertAlign w:val="subscript"/>
              </w:rPr>
              <w:t>ах</w:t>
            </w:r>
            <w:r w:rsidRPr="007469A4">
              <w:rPr>
                <w:sz w:val="22"/>
                <w:szCs w:val="22"/>
              </w:rPr>
              <w:t xml:space="preserve">: </w:t>
            </w:r>
            <w:r w:rsidR="00B923DE" w:rsidRPr="007469A4">
              <w:rPr>
                <w:sz w:val="22"/>
                <w:szCs w:val="22"/>
              </w:rPr>
              <w:t>↔</w:t>
            </w:r>
          </w:p>
          <w:p w14:paraId="4A2A1A0D" w14:textId="77777777" w:rsidR="0053156A" w:rsidRPr="007469A4" w:rsidRDefault="00B923D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C</w:t>
            </w:r>
            <w:r w:rsidRPr="007469A4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="0053156A" w:rsidRPr="007469A4">
              <w:rPr>
                <w:sz w:val="22"/>
                <w:szCs w:val="22"/>
              </w:rPr>
              <w:t>: ↔</w:t>
            </w:r>
          </w:p>
          <w:p w14:paraId="4C363BCA" w14:textId="77777777" w:rsidR="0053156A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Эмтрицитабин</w:t>
            </w:r>
          </w:p>
          <w:p w14:paraId="57A090C5" w14:textId="77777777" w:rsidR="0053156A" w:rsidRPr="007469A4" w:rsidRDefault="0053156A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pacing w:val="-20"/>
                <w:sz w:val="22"/>
                <w:szCs w:val="22"/>
                <w:lang w:val="en-US" w:eastAsia="en-US"/>
              </w:rPr>
              <w:t>AUC</w:t>
            </w:r>
            <w:r w:rsidRPr="007469A4">
              <w:rPr>
                <w:spacing w:val="-20"/>
                <w:sz w:val="22"/>
                <w:szCs w:val="22"/>
                <w:lang w:eastAsia="en-US"/>
              </w:rPr>
              <w:t>:</w:t>
            </w:r>
            <w:r w:rsidRPr="007469A4">
              <w:rPr>
                <w:sz w:val="22"/>
                <w:szCs w:val="22"/>
                <w:lang w:eastAsia="en-US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45DEADFB" w14:textId="77777777" w:rsidR="0053156A" w:rsidRPr="007469A4" w:rsidRDefault="0053156A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bCs/>
                <w:sz w:val="22"/>
                <w:szCs w:val="22"/>
              </w:rPr>
              <w:t>С</w:t>
            </w:r>
            <w:r w:rsidRPr="007469A4">
              <w:rPr>
                <w:bCs/>
                <w:sz w:val="22"/>
                <w:szCs w:val="22"/>
                <w:vertAlign w:val="subscript"/>
                <w:lang w:val="en-US" w:eastAsia="en-US"/>
              </w:rPr>
              <w:t>max</w:t>
            </w:r>
            <w:r w:rsidR="00B923DE" w:rsidRPr="007469A4">
              <w:rPr>
                <w:bCs/>
                <w:sz w:val="22"/>
                <w:szCs w:val="22"/>
              </w:rPr>
              <w:t>:</w:t>
            </w:r>
            <w:r w:rsidRPr="007469A4">
              <w:rPr>
                <w:bCs/>
                <w:sz w:val="22"/>
                <w:szCs w:val="22"/>
              </w:rPr>
              <w:t xml:space="preserve"> </w:t>
            </w:r>
            <w:r w:rsidRPr="007469A4">
              <w:rPr>
                <w:sz w:val="22"/>
                <w:szCs w:val="22"/>
              </w:rPr>
              <w:t>↔</w:t>
            </w:r>
          </w:p>
          <w:p w14:paraId="0AC55CEA" w14:textId="77777777" w:rsidR="0053156A" w:rsidRPr="007469A4" w:rsidRDefault="00B923DE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  <w:lang w:val="en-US"/>
              </w:rPr>
              <w:t>C</w:t>
            </w:r>
            <w:r w:rsidRPr="007469A4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="0053156A" w:rsidRPr="007469A4">
              <w:rPr>
                <w:sz w:val="22"/>
                <w:szCs w:val="22"/>
              </w:rPr>
              <w:t>: ↔</w:t>
            </w:r>
          </w:p>
          <w:p w14:paraId="508A319B" w14:textId="77777777" w:rsidR="0053156A" w:rsidRPr="007469A4" w:rsidRDefault="00F26FFF" w:rsidP="00CA1EC1">
            <w:pPr>
              <w:pStyle w:val="Style177"/>
              <w:spacing w:before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Тенофовир</w:t>
            </w:r>
          </w:p>
          <w:p w14:paraId="609DF4C7" w14:textId="77777777" w:rsidR="0053156A" w:rsidRPr="007469A4" w:rsidRDefault="0053156A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 xml:space="preserve">AUC: </w:t>
            </w:r>
            <w:r w:rsidRPr="008F4FDC">
              <w:rPr>
                <w:sz w:val="22"/>
                <w:szCs w:val="22"/>
              </w:rPr>
              <w:t>↔</w:t>
            </w:r>
          </w:p>
          <w:p w14:paraId="26C45E98" w14:textId="77777777" w:rsidR="0053156A" w:rsidRPr="007469A4" w:rsidRDefault="0053156A" w:rsidP="00CA1EC1">
            <w:pPr>
              <w:pStyle w:val="Style177"/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С</w:t>
            </w:r>
            <w:r w:rsidRPr="007469A4">
              <w:rPr>
                <w:sz w:val="22"/>
                <w:szCs w:val="22"/>
                <w:vertAlign w:val="subscript"/>
              </w:rPr>
              <w:t>mах</w:t>
            </w:r>
            <w:r w:rsidRPr="007469A4">
              <w:rPr>
                <w:sz w:val="22"/>
                <w:szCs w:val="22"/>
              </w:rPr>
              <w:t>: ↑ 25</w:t>
            </w:r>
            <w:r w:rsidR="00577D9A" w:rsidRPr="007469A4">
              <w:rPr>
                <w:sz w:val="22"/>
                <w:szCs w:val="22"/>
              </w:rPr>
              <w:t> </w:t>
            </w:r>
            <w:r w:rsidRPr="007469A4">
              <w:rPr>
                <w:sz w:val="22"/>
                <w:szCs w:val="22"/>
              </w:rPr>
              <w:t>%</w:t>
            </w:r>
          </w:p>
          <w:p w14:paraId="566DC110" w14:textId="77777777" w:rsidR="00856856" w:rsidRPr="007469A4" w:rsidRDefault="0053156A" w:rsidP="00CA1EC1">
            <w:pPr>
              <w:spacing w:after="120" w:line="276" w:lineRule="auto"/>
              <w:rPr>
                <w:spacing w:val="-20"/>
                <w:sz w:val="22"/>
                <w:szCs w:val="22"/>
                <w:lang w:eastAsia="en-US"/>
              </w:rPr>
            </w:pPr>
            <w:r w:rsidRPr="007469A4">
              <w:rPr>
                <w:sz w:val="22"/>
                <w:szCs w:val="22"/>
              </w:rPr>
              <w:t>C</w:t>
            </w:r>
            <w:r w:rsidRPr="007469A4">
              <w:rPr>
                <w:sz w:val="22"/>
                <w:szCs w:val="22"/>
                <w:vertAlign w:val="subscript"/>
              </w:rPr>
              <w:t>min</w:t>
            </w:r>
            <w:r w:rsidRPr="007469A4">
              <w:rPr>
                <w:sz w:val="22"/>
                <w:szCs w:val="22"/>
              </w:rPr>
              <w:t xml:space="preserve">:  </w:t>
            </w:r>
            <w:r w:rsidRPr="007469A4">
              <w:rPr>
                <w:sz w:val="22"/>
                <w:szCs w:val="22"/>
                <w:lang w:val="en-US"/>
              </w:rPr>
              <w:t>↔</w:t>
            </w:r>
          </w:p>
        </w:tc>
        <w:tc>
          <w:tcPr>
            <w:tcW w:w="1896" w:type="pct"/>
            <w:gridSpan w:val="2"/>
          </w:tcPr>
          <w:p w14:paraId="4B946677" w14:textId="77777777" w:rsidR="00856856" w:rsidRPr="007469A4" w:rsidRDefault="00545F85" w:rsidP="00CA1EC1">
            <w:pPr>
              <w:spacing w:line="276" w:lineRule="auto"/>
              <w:rPr>
                <w:sz w:val="22"/>
                <w:szCs w:val="22"/>
              </w:rPr>
            </w:pPr>
            <w:r w:rsidRPr="007469A4">
              <w:rPr>
                <w:sz w:val="22"/>
                <w:szCs w:val="22"/>
              </w:rPr>
              <w:t>Коррекция дозы не требуется</w:t>
            </w:r>
          </w:p>
        </w:tc>
      </w:tr>
    </w:tbl>
    <w:p w14:paraId="0759C6AD" w14:textId="77777777" w:rsidR="002168AE" w:rsidRPr="002168AE" w:rsidRDefault="00B923DE" w:rsidP="002168AE">
      <w:pPr>
        <w:spacing w:before="120" w:line="276" w:lineRule="auto"/>
        <w:jc w:val="both"/>
        <w:rPr>
          <w:iCs/>
          <w:sz w:val="22"/>
          <w:szCs w:val="22"/>
        </w:rPr>
      </w:pPr>
      <w:r w:rsidRPr="002168AE">
        <w:rPr>
          <w:iCs/>
          <w:sz w:val="22"/>
          <w:szCs w:val="22"/>
          <w:vertAlign w:val="superscript"/>
        </w:rPr>
        <w:t>1</w:t>
      </w:r>
      <w:r w:rsidR="002168AE" w:rsidRPr="002168AE">
        <w:rPr>
          <w:iCs/>
          <w:sz w:val="22"/>
          <w:szCs w:val="22"/>
        </w:rPr>
        <w:t xml:space="preserve"> </w:t>
      </w:r>
      <w:r w:rsidR="008156C5" w:rsidRPr="002168AE">
        <w:rPr>
          <w:iCs/>
          <w:sz w:val="22"/>
          <w:szCs w:val="22"/>
        </w:rPr>
        <w:t>Данные получены при одновременном введении с ледипасвиром/софосбувиром. Неодновременное введение (с интервалом 12</w:t>
      </w:r>
      <w:r w:rsidR="00170EF3" w:rsidRPr="002168AE">
        <w:rPr>
          <w:iCs/>
          <w:sz w:val="22"/>
          <w:szCs w:val="22"/>
        </w:rPr>
        <w:t> ч</w:t>
      </w:r>
      <w:r w:rsidR="008156C5" w:rsidRPr="002168AE">
        <w:rPr>
          <w:iCs/>
          <w:sz w:val="22"/>
          <w:szCs w:val="22"/>
        </w:rPr>
        <w:t>) дает те же результаты.</w:t>
      </w:r>
    </w:p>
    <w:p w14:paraId="1A278D6D" w14:textId="77777777" w:rsidR="002168AE" w:rsidRPr="002168AE" w:rsidRDefault="00B923DE" w:rsidP="002168AE">
      <w:pPr>
        <w:spacing w:before="120" w:line="276" w:lineRule="auto"/>
        <w:jc w:val="both"/>
        <w:rPr>
          <w:iCs/>
          <w:sz w:val="22"/>
          <w:szCs w:val="22"/>
        </w:rPr>
      </w:pPr>
      <w:r w:rsidRPr="002168AE">
        <w:rPr>
          <w:iCs/>
          <w:sz w:val="22"/>
          <w:szCs w:val="22"/>
          <w:vertAlign w:val="superscript"/>
        </w:rPr>
        <w:t>2</w:t>
      </w:r>
      <w:r w:rsidR="002168AE" w:rsidRPr="002168AE">
        <w:rPr>
          <w:iCs/>
          <w:sz w:val="22"/>
          <w:szCs w:val="22"/>
        </w:rPr>
        <w:t xml:space="preserve"> </w:t>
      </w:r>
      <w:r w:rsidR="008156C5" w:rsidRPr="002168AE">
        <w:rPr>
          <w:iCs/>
          <w:sz w:val="22"/>
          <w:szCs w:val="22"/>
        </w:rPr>
        <w:t>Основной циркулирующий метаболит софосбувира.</w:t>
      </w:r>
      <w:r w:rsidR="002168AE" w:rsidRPr="002168AE">
        <w:rPr>
          <w:iCs/>
          <w:sz w:val="22"/>
          <w:szCs w:val="22"/>
        </w:rPr>
        <w:t xml:space="preserve"> </w:t>
      </w:r>
    </w:p>
    <w:p w14:paraId="7A69595F" w14:textId="77777777" w:rsidR="008156C5" w:rsidRPr="002168AE" w:rsidRDefault="00B923DE" w:rsidP="002168AE">
      <w:pPr>
        <w:spacing w:before="120" w:line="276" w:lineRule="auto"/>
        <w:jc w:val="both"/>
        <w:rPr>
          <w:iCs/>
          <w:sz w:val="22"/>
          <w:szCs w:val="22"/>
        </w:rPr>
      </w:pPr>
      <w:r w:rsidRPr="002168AE">
        <w:rPr>
          <w:iCs/>
          <w:sz w:val="22"/>
          <w:szCs w:val="22"/>
          <w:vertAlign w:val="superscript"/>
        </w:rPr>
        <w:t>3</w:t>
      </w:r>
      <w:r w:rsidR="008156C5" w:rsidRPr="002168AE">
        <w:rPr>
          <w:iCs/>
          <w:sz w:val="22"/>
          <w:szCs w:val="22"/>
        </w:rPr>
        <w:t xml:space="preserve"> Исследование проведено с добавлением 100</w:t>
      </w:r>
      <w:r w:rsidR="00170EF3" w:rsidRPr="002168AE">
        <w:rPr>
          <w:iCs/>
          <w:sz w:val="22"/>
          <w:szCs w:val="22"/>
        </w:rPr>
        <w:t> </w:t>
      </w:r>
      <w:r w:rsidR="008156C5" w:rsidRPr="002168AE">
        <w:rPr>
          <w:iCs/>
          <w:sz w:val="22"/>
          <w:szCs w:val="22"/>
        </w:rPr>
        <w:t>мг воксилапревира для достижения экспозиции воксилапревира, ожидаемой у пациентов, инфицированных ВГС.</w:t>
      </w:r>
    </w:p>
    <w:p w14:paraId="36969C5B" w14:textId="77777777" w:rsidR="008156C5" w:rsidRPr="002168AE" w:rsidRDefault="008156C5" w:rsidP="002168AE">
      <w:pPr>
        <w:spacing w:before="120" w:after="120" w:line="276" w:lineRule="auto"/>
        <w:jc w:val="both"/>
        <w:rPr>
          <w:iCs/>
          <w:sz w:val="22"/>
          <w:szCs w:val="22"/>
        </w:rPr>
      </w:pPr>
      <w:r w:rsidRPr="002168AE">
        <w:rPr>
          <w:iCs/>
          <w:sz w:val="22"/>
          <w:szCs w:val="22"/>
          <w:lang w:val="en-US"/>
        </w:rPr>
        <w:t>N</w:t>
      </w:r>
      <w:r w:rsidR="00B923DE" w:rsidRPr="002168AE">
        <w:rPr>
          <w:iCs/>
          <w:sz w:val="22"/>
          <w:szCs w:val="22"/>
        </w:rPr>
        <w:t>/</w:t>
      </w:r>
      <w:r w:rsidRPr="002168AE">
        <w:rPr>
          <w:iCs/>
          <w:sz w:val="22"/>
          <w:szCs w:val="22"/>
          <w:lang w:val="en-US"/>
        </w:rPr>
        <w:t>A</w:t>
      </w:r>
      <w:r w:rsidRPr="002168AE">
        <w:rPr>
          <w:iCs/>
          <w:sz w:val="22"/>
          <w:szCs w:val="22"/>
        </w:rPr>
        <w:t xml:space="preserve"> – не применимо</w:t>
      </w:r>
    </w:p>
    <w:p w14:paraId="4AF918DD" w14:textId="77777777" w:rsidR="00556592" w:rsidRPr="002168AE" w:rsidRDefault="00556592" w:rsidP="00136B39">
      <w:pPr>
        <w:spacing w:before="120" w:line="360" w:lineRule="auto"/>
        <w:jc w:val="both"/>
      </w:pPr>
      <w:r w:rsidRPr="002168AE">
        <w:rPr>
          <w:i/>
          <w:iCs/>
        </w:rPr>
        <w:t xml:space="preserve">Исследования, проведенные с другими лекарственными </w:t>
      </w:r>
      <w:r w:rsidR="00BA3DDF" w:rsidRPr="002168AE">
        <w:rPr>
          <w:i/>
          <w:iCs/>
        </w:rPr>
        <w:t>препаратами</w:t>
      </w:r>
    </w:p>
    <w:p w14:paraId="513BACE7" w14:textId="77777777" w:rsidR="00556592" w:rsidRPr="002168AE" w:rsidRDefault="00556592" w:rsidP="002168AE">
      <w:pPr>
        <w:spacing w:line="360" w:lineRule="auto"/>
        <w:jc w:val="both"/>
      </w:pPr>
      <w:r w:rsidRPr="002168AE">
        <w:t>Не наблюдалось клинически значимых фармакокинетических взаимодействий при одновременном применении тенофовира</w:t>
      </w:r>
      <w:r w:rsidR="007A38FD" w:rsidRPr="002168AE">
        <w:t xml:space="preserve"> </w:t>
      </w:r>
      <w:r w:rsidR="00D81AB0" w:rsidRPr="002168AE">
        <w:t>дизопроксила фумарата</w:t>
      </w:r>
      <w:r w:rsidRPr="002168AE">
        <w:t xml:space="preserve"> с эмтрицитабином, ламивудином, индинавиром, эфавирензом, нелфинавиром, саквинавиром (</w:t>
      </w:r>
      <w:r w:rsidR="00D81AB0" w:rsidRPr="002168AE">
        <w:t xml:space="preserve">бустированным </w:t>
      </w:r>
      <w:r w:rsidRPr="002168AE">
        <w:lastRenderedPageBreak/>
        <w:t>ритонавиром), метадоном, рибавирином, рифампицином, такролимусом и гормональным контрацептивом норгестиматом/этинилэстрадиолом.</w:t>
      </w:r>
    </w:p>
    <w:p w14:paraId="7964F2DB" w14:textId="77777777" w:rsidR="00556592" w:rsidRPr="00531671" w:rsidRDefault="00556592" w:rsidP="00531671">
      <w:pPr>
        <w:spacing w:line="360" w:lineRule="auto"/>
        <w:jc w:val="both"/>
      </w:pPr>
      <w:r w:rsidRPr="002168AE">
        <w:t>Тенофовир</w:t>
      </w:r>
      <w:r w:rsidR="00D81AB0" w:rsidRPr="002168AE">
        <w:t>а дизопроксила фумарат</w:t>
      </w:r>
      <w:r w:rsidRPr="002168AE">
        <w:t xml:space="preserve"> следует принимать одновременно с пищей, поскольку </w:t>
      </w:r>
      <w:r w:rsidRPr="00531671">
        <w:t>пища повышает биодоступность тенофовира.</w:t>
      </w:r>
    </w:p>
    <w:p w14:paraId="30C5ACB4" w14:textId="77777777" w:rsidR="002268CE" w:rsidRPr="00531671" w:rsidRDefault="000143F3" w:rsidP="00FC031E">
      <w:pPr>
        <w:spacing w:before="120" w:line="360" w:lineRule="auto"/>
        <w:jc w:val="both"/>
        <w:rPr>
          <w:b/>
        </w:rPr>
      </w:pPr>
      <w:r w:rsidRPr="00531671">
        <w:rPr>
          <w:b/>
        </w:rPr>
        <w:t>Особые указания</w:t>
      </w:r>
    </w:p>
    <w:p w14:paraId="2A7F33A8" w14:textId="77777777" w:rsidR="00561D19" w:rsidRPr="00B021D0" w:rsidRDefault="00C349A9" w:rsidP="00531671">
      <w:pPr>
        <w:spacing w:line="360" w:lineRule="auto"/>
        <w:jc w:val="both"/>
        <w:rPr>
          <w:i/>
          <w:u w:val="single"/>
        </w:rPr>
      </w:pPr>
      <w:r w:rsidRPr="00C349A9">
        <w:rPr>
          <w:i/>
          <w:u w:val="single"/>
        </w:rPr>
        <w:t>Общие</w:t>
      </w:r>
    </w:p>
    <w:p w14:paraId="6CED8BB2" w14:textId="77777777" w:rsidR="00561D19" w:rsidRPr="00531671" w:rsidRDefault="00561D19" w:rsidP="00531671">
      <w:pPr>
        <w:spacing w:line="360" w:lineRule="auto"/>
        <w:jc w:val="both"/>
      </w:pPr>
      <w:r w:rsidRPr="00531671">
        <w:t xml:space="preserve">Перед тем, как начать терапию </w:t>
      </w:r>
      <w:r w:rsidR="00D81AB0" w:rsidRPr="00531671">
        <w:t>тенофовира дизопроксила фумаратом</w:t>
      </w:r>
      <w:r w:rsidRPr="00531671">
        <w:t xml:space="preserve">, следует предложить анализ на антитела к ВИЧ всем пациентам, инфицированным </w:t>
      </w:r>
      <w:r w:rsidR="002168AE" w:rsidRPr="00531671">
        <w:t>ВГВ</w:t>
      </w:r>
      <w:r w:rsidRPr="00531671">
        <w:t>.</w:t>
      </w:r>
    </w:p>
    <w:p w14:paraId="7015196E" w14:textId="77777777" w:rsidR="00561D19" w:rsidRPr="00531671" w:rsidRDefault="00561D19" w:rsidP="00531671">
      <w:pPr>
        <w:spacing w:line="360" w:lineRule="auto"/>
        <w:jc w:val="both"/>
      </w:pPr>
      <w:r w:rsidRPr="00531671">
        <w:rPr>
          <w:i/>
          <w:iCs/>
        </w:rPr>
        <w:t>ВИЧ-1</w:t>
      </w:r>
      <w:r w:rsidR="002168AE" w:rsidRPr="00531671">
        <w:rPr>
          <w:i/>
          <w:iCs/>
        </w:rPr>
        <w:t xml:space="preserve">: </w:t>
      </w:r>
      <w:r w:rsidRPr="00531671">
        <w:t>Несмотря на то, что стабильная антиретровирусная терапия, приводящая к устойчивой супрессии вируса, в значительной степени снижает риск передачи вируса при половых контактах, тем не менее, риск не может быть исключен полностью. Меры предосторожности по предотвращению передачи инфекции следует принимать в соответствии с национальными руководствами.</w:t>
      </w:r>
    </w:p>
    <w:p w14:paraId="747D9535" w14:textId="77777777" w:rsidR="008444C8" w:rsidRPr="00531671" w:rsidRDefault="00561D19" w:rsidP="00531671">
      <w:pPr>
        <w:spacing w:line="360" w:lineRule="auto"/>
        <w:jc w:val="both"/>
      </w:pPr>
      <w:r w:rsidRPr="00531671">
        <w:rPr>
          <w:i/>
          <w:iCs/>
        </w:rPr>
        <w:t>Хронический гепатит</w:t>
      </w:r>
      <w:r w:rsidR="002205BC" w:rsidRPr="00531671">
        <w:rPr>
          <w:i/>
          <w:iCs/>
        </w:rPr>
        <w:t> </w:t>
      </w:r>
      <w:r w:rsidRPr="00531671">
        <w:rPr>
          <w:i/>
          <w:iCs/>
        </w:rPr>
        <w:t>В</w:t>
      </w:r>
      <w:r w:rsidR="002168AE" w:rsidRPr="00531671">
        <w:rPr>
          <w:i/>
          <w:iCs/>
        </w:rPr>
        <w:t xml:space="preserve">: </w:t>
      </w:r>
      <w:r w:rsidRPr="00531671">
        <w:t>Пациенты должны быть предупреждены о том, что способность тенофовира</w:t>
      </w:r>
      <w:r w:rsidR="00D81AB0" w:rsidRPr="00531671">
        <w:t xml:space="preserve"> дизопроксила фумарата</w:t>
      </w:r>
      <w:r w:rsidRPr="00531671">
        <w:t xml:space="preserve"> предотвращать риск передачи ВГВ другим лицам половым путем или через кровь не доказана. Следует придерживаться соответствующих мер предосторожности.</w:t>
      </w:r>
    </w:p>
    <w:p w14:paraId="10D20306" w14:textId="77777777" w:rsidR="00561D19" w:rsidRPr="00B021D0" w:rsidRDefault="00C349A9" w:rsidP="00F0228B">
      <w:pPr>
        <w:spacing w:line="360" w:lineRule="auto"/>
        <w:jc w:val="both"/>
        <w:rPr>
          <w:i/>
          <w:u w:val="single"/>
        </w:rPr>
      </w:pPr>
      <w:r w:rsidRPr="00C349A9">
        <w:rPr>
          <w:i/>
          <w:u w:val="single"/>
        </w:rPr>
        <w:t>Одновременное применение с другими лекарственными препаратами</w:t>
      </w:r>
    </w:p>
    <w:p w14:paraId="63CABEE4" w14:textId="77777777" w:rsidR="00561D19" w:rsidRPr="00F0228B" w:rsidRDefault="008F7852" w:rsidP="00F0228B">
      <w:pPr>
        <w:pStyle w:val="af2"/>
        <w:numPr>
          <w:ilvl w:val="0"/>
          <w:numId w:val="18"/>
        </w:numPr>
        <w:spacing w:line="360" w:lineRule="auto"/>
        <w:ind w:left="567"/>
        <w:jc w:val="both"/>
      </w:pPr>
      <w:r>
        <w:t xml:space="preserve">Препарат </w:t>
      </w:r>
      <w:r w:rsidR="002840C4" w:rsidRPr="00F0228B">
        <w:t>Тенофовир</w:t>
      </w:r>
      <w:r w:rsidR="00D42A12" w:rsidRPr="00F0228B">
        <w:t> </w:t>
      </w:r>
      <w:r w:rsidR="002840C4" w:rsidRPr="00F0228B">
        <w:t>ВМ</w:t>
      </w:r>
      <w:r w:rsidR="00561D19" w:rsidRPr="00F0228B">
        <w:t xml:space="preserve"> не следует применять с другими лекарственными </w:t>
      </w:r>
      <w:r w:rsidR="00BA3DDF" w:rsidRPr="00F0228B">
        <w:t>препаратами</w:t>
      </w:r>
      <w:r w:rsidR="00561D19" w:rsidRPr="00F0228B">
        <w:t>, содержащими тенофовир</w:t>
      </w:r>
      <w:r w:rsidR="00D81AB0" w:rsidRPr="00F0228B">
        <w:t>а дизопроксила фумарат или тенофовира алафенамид</w:t>
      </w:r>
      <w:r w:rsidR="00561D19" w:rsidRPr="00F0228B">
        <w:t>.</w:t>
      </w:r>
    </w:p>
    <w:p w14:paraId="740A1621" w14:textId="77777777" w:rsidR="00561D19" w:rsidRPr="00F0228B" w:rsidRDefault="008F7852" w:rsidP="00F0228B">
      <w:pPr>
        <w:pStyle w:val="af2"/>
        <w:numPr>
          <w:ilvl w:val="0"/>
          <w:numId w:val="18"/>
        </w:numPr>
        <w:spacing w:line="360" w:lineRule="auto"/>
        <w:ind w:left="567"/>
        <w:jc w:val="both"/>
      </w:pPr>
      <w:r>
        <w:t xml:space="preserve">Препарат </w:t>
      </w:r>
      <w:r w:rsidR="002840C4" w:rsidRPr="00F0228B">
        <w:t>Тенофовир</w:t>
      </w:r>
      <w:r w:rsidR="00D42A12" w:rsidRPr="00F0228B">
        <w:t> </w:t>
      </w:r>
      <w:r w:rsidR="002840C4" w:rsidRPr="00F0228B">
        <w:t>ВМ</w:t>
      </w:r>
      <w:r w:rsidR="00561D19" w:rsidRPr="00F0228B">
        <w:t xml:space="preserve"> не следует применять одновременно с адефовиром.</w:t>
      </w:r>
    </w:p>
    <w:p w14:paraId="41FFE002" w14:textId="77777777" w:rsidR="00561D19" w:rsidRPr="00F0228B" w:rsidRDefault="00561D19" w:rsidP="00F0228B">
      <w:pPr>
        <w:pStyle w:val="af2"/>
        <w:numPr>
          <w:ilvl w:val="0"/>
          <w:numId w:val="18"/>
        </w:numPr>
        <w:spacing w:line="360" w:lineRule="auto"/>
        <w:ind w:left="567"/>
        <w:jc w:val="both"/>
      </w:pPr>
      <w:r w:rsidRPr="00F0228B">
        <w:t>Не рекомендуется одновременное применение тенофовира и диданозина. Одновременное применение тенофовира</w:t>
      </w:r>
      <w:r w:rsidR="00D81AB0" w:rsidRPr="00F0228B">
        <w:t xml:space="preserve"> дизопроксила фумарата</w:t>
      </w:r>
      <w:r w:rsidRPr="00F0228B">
        <w:t xml:space="preserve"> и диданозина приводит к 40-</w:t>
      </w:r>
      <w:r w:rsidR="0075120C" w:rsidRPr="00F0228B">
        <w:t>60 </w:t>
      </w:r>
      <w:r w:rsidRPr="00F0228B">
        <w:t>% повышению системной экспозиции диданозина, что может увеличивать риск связанных с диданозином нежелательных явлений (см. раздел «Взаимодействие с другими лекарственными средствами»). Редко сообщалось о панкреатите и лактоацидозе, иногда с летальным исходом. Одновременное применение тенофовира</w:t>
      </w:r>
      <w:r w:rsidR="00D81AB0" w:rsidRPr="00F0228B">
        <w:t xml:space="preserve"> дизопроксила фумарата</w:t>
      </w:r>
      <w:r w:rsidRPr="00F0228B">
        <w:t xml:space="preserve"> и диданозина в дозе 400</w:t>
      </w:r>
      <w:r w:rsidR="00F0228B" w:rsidRPr="00F0228B">
        <w:t> </w:t>
      </w:r>
      <w:r w:rsidRPr="00F0228B">
        <w:t xml:space="preserve">мг в сутки было связано со значительным уменьшением количества клеток </w:t>
      </w:r>
      <w:r w:rsidRPr="00F0228B">
        <w:rPr>
          <w:lang w:val="en-US" w:eastAsia="en-US"/>
        </w:rPr>
        <w:t>CD</w:t>
      </w:r>
      <w:r w:rsidRPr="00F0228B">
        <w:rPr>
          <w:lang w:eastAsia="en-US"/>
        </w:rPr>
        <w:t xml:space="preserve">4, </w:t>
      </w:r>
      <w:r w:rsidRPr="00F0228B">
        <w:t xml:space="preserve">возможно </w:t>
      </w:r>
      <w:r w:rsidR="00F0228B" w:rsidRPr="00F0228B">
        <w:br/>
      </w:r>
      <w:r w:rsidRPr="00F0228B">
        <w:t>из-за межклеточного взаимодействия, что повышает фосфорилированный (то есть активный) диданозин. Применение диданозина в уменьшенной дозировке 250</w:t>
      </w:r>
      <w:r w:rsidR="00F0228B" w:rsidRPr="00F0228B">
        <w:t> </w:t>
      </w:r>
      <w:r w:rsidRPr="00F0228B">
        <w:t xml:space="preserve">мг </w:t>
      </w:r>
      <w:r w:rsidR="00D81AB0" w:rsidRPr="00F0228B">
        <w:t>совместно с</w:t>
      </w:r>
      <w:r w:rsidRPr="00F0228B">
        <w:t xml:space="preserve"> </w:t>
      </w:r>
      <w:r w:rsidR="00D81AB0" w:rsidRPr="00F0228B">
        <w:t>тенофовира дизопроксила фумаратом</w:t>
      </w:r>
      <w:r w:rsidRPr="00F0228B">
        <w:t>, было связано с сообщениями о высокой частоте вирусологической неудачи при нескольких исследованных комбинациях для лечения ВИЧ-1 инфекции.</w:t>
      </w:r>
    </w:p>
    <w:p w14:paraId="1041757C" w14:textId="77777777" w:rsidR="00613C0A" w:rsidRDefault="00C349A9">
      <w:pPr>
        <w:keepNext/>
        <w:spacing w:line="360" w:lineRule="auto"/>
        <w:jc w:val="both"/>
        <w:rPr>
          <w:i/>
          <w:u w:val="single"/>
        </w:rPr>
      </w:pPr>
      <w:r w:rsidRPr="00C349A9">
        <w:rPr>
          <w:i/>
          <w:u w:val="single"/>
        </w:rPr>
        <w:lastRenderedPageBreak/>
        <w:t>Тройная терапия с нуклеозидами/нуклеотидами</w:t>
      </w:r>
    </w:p>
    <w:p w14:paraId="3A44D7D6" w14:textId="77777777" w:rsidR="00561D19" w:rsidRPr="00983575" w:rsidRDefault="00561D19" w:rsidP="00983575">
      <w:pPr>
        <w:spacing w:line="360" w:lineRule="auto"/>
        <w:jc w:val="both"/>
      </w:pPr>
      <w:r w:rsidRPr="00983575">
        <w:t>Поступали сообщения о высокой частоте вирусологической неудачи и о появлении резистентности на ранней стадии у пациентов с ВИЧ инфекцией, если тенофовир</w:t>
      </w:r>
      <w:r w:rsidR="00D81AB0" w:rsidRPr="00983575">
        <w:t xml:space="preserve">а дизопроксила фумарат </w:t>
      </w:r>
      <w:r w:rsidRPr="00983575">
        <w:t>сочетался с ламивудином и абакавиром, а также с ламивудином и диданозином по схеме введения 1</w:t>
      </w:r>
      <w:r w:rsidR="00983575" w:rsidRPr="00983575">
        <w:t> </w:t>
      </w:r>
      <w:r w:rsidRPr="00983575">
        <w:t>раз в сутки.</w:t>
      </w:r>
    </w:p>
    <w:p w14:paraId="7E18F2A6" w14:textId="77777777" w:rsidR="00983575" w:rsidRPr="00B021D0" w:rsidRDefault="00C349A9" w:rsidP="00983575">
      <w:pPr>
        <w:spacing w:line="360" w:lineRule="auto"/>
        <w:jc w:val="both"/>
        <w:rPr>
          <w:u w:val="single"/>
        </w:rPr>
      </w:pPr>
      <w:r w:rsidRPr="00C349A9">
        <w:rPr>
          <w:i/>
          <w:u w:val="single"/>
        </w:rPr>
        <w:t>Влияние на функцию почек и костную ткань у взрослых</w:t>
      </w:r>
    </w:p>
    <w:p w14:paraId="1E21B634" w14:textId="77777777" w:rsidR="00561D19" w:rsidRPr="00415DA9" w:rsidRDefault="00561D19" w:rsidP="00983575">
      <w:pPr>
        <w:spacing w:line="360" w:lineRule="auto"/>
        <w:jc w:val="both"/>
      </w:pPr>
      <w:r w:rsidRPr="00415DA9">
        <w:rPr>
          <w:i/>
          <w:iCs/>
        </w:rPr>
        <w:t>Влияние на функцию почек</w:t>
      </w:r>
    </w:p>
    <w:p w14:paraId="0E57B1F3" w14:textId="77777777" w:rsidR="00062EFF" w:rsidRPr="00415DA9" w:rsidRDefault="00561D19" w:rsidP="00983575">
      <w:pPr>
        <w:spacing w:line="360" w:lineRule="auto"/>
        <w:jc w:val="both"/>
      </w:pPr>
      <w:r w:rsidRPr="00415DA9">
        <w:t>Тенофовир, главным образом, выводится почками. Поступали сообщения о почечной недостаточности, нарушениях функции почек, повышенном уровне креатинина</w:t>
      </w:r>
      <w:r w:rsidR="0075120C" w:rsidRPr="00415DA9">
        <w:t>,</w:t>
      </w:r>
      <w:r w:rsidRPr="00415DA9">
        <w:t xml:space="preserve"> гипофосфатемии и проксимальной тубулопатии (включая синдром Фанкони) при применении тенофовира</w:t>
      </w:r>
      <w:r w:rsidR="00D81AB0" w:rsidRPr="00415DA9">
        <w:t xml:space="preserve"> дизопроксила фумарата</w:t>
      </w:r>
      <w:r w:rsidRPr="00415DA9">
        <w:t xml:space="preserve"> в клинической практике (см. раздел «Побочное действие»).</w:t>
      </w:r>
    </w:p>
    <w:p w14:paraId="55526E93" w14:textId="77777777" w:rsidR="00561D19" w:rsidRPr="00415DA9" w:rsidRDefault="00561D19" w:rsidP="00983575">
      <w:pPr>
        <w:spacing w:line="360" w:lineRule="auto"/>
        <w:jc w:val="both"/>
      </w:pPr>
      <w:r w:rsidRPr="00415DA9">
        <w:rPr>
          <w:i/>
          <w:iCs/>
        </w:rPr>
        <w:t>Контроль функции почек</w:t>
      </w:r>
    </w:p>
    <w:p w14:paraId="5668D930" w14:textId="77777777" w:rsidR="00561D19" w:rsidRPr="00415DA9" w:rsidRDefault="00561D19" w:rsidP="00983575">
      <w:pPr>
        <w:spacing w:line="360" w:lineRule="auto"/>
        <w:jc w:val="both"/>
      </w:pPr>
      <w:r w:rsidRPr="00415DA9">
        <w:t>Рекомендуется определение КК у всех пациентов до начала лечения тенофовир</w:t>
      </w:r>
      <w:r w:rsidR="000B17E1" w:rsidRPr="00415DA9">
        <w:t>а дизопроксила фумарат</w:t>
      </w:r>
      <w:r w:rsidRPr="00415DA9">
        <w:t xml:space="preserve">ом и наблюдение за функцией почек (КК и уровень фосфата в </w:t>
      </w:r>
      <w:r w:rsidR="009824C7" w:rsidRPr="00415DA9">
        <w:t>сыворотке) после 2-4 недель лечения, через 3 месяца лечения и каждые 3-6 месяцев после у пациентов</w:t>
      </w:r>
      <w:r w:rsidRPr="00415DA9">
        <w:t xml:space="preserve"> без факторов риска нарушения функции почек. Для пациентов с повышенным риском почечной недостаточности, следует рассмотреть необходимость проведения более частого контроля функции почек.</w:t>
      </w:r>
    </w:p>
    <w:p w14:paraId="0F60F3D6" w14:textId="77777777" w:rsidR="00561D19" w:rsidRPr="00415DA9" w:rsidRDefault="00561D19" w:rsidP="00983575">
      <w:pPr>
        <w:spacing w:line="360" w:lineRule="auto"/>
        <w:jc w:val="both"/>
      </w:pPr>
      <w:r w:rsidRPr="00415DA9">
        <w:rPr>
          <w:i/>
          <w:iCs/>
        </w:rPr>
        <w:t>Ведение пациентов с нарушением функции почек</w:t>
      </w:r>
    </w:p>
    <w:p w14:paraId="157713B7" w14:textId="77777777" w:rsidR="00561D19" w:rsidRPr="00415DA9" w:rsidRDefault="00561D19" w:rsidP="002840C4">
      <w:pPr>
        <w:spacing w:line="360" w:lineRule="auto"/>
        <w:jc w:val="both"/>
      </w:pPr>
      <w:r w:rsidRPr="00415DA9">
        <w:t>Если уровень фосфата в сыворотке крови &lt;1,5</w:t>
      </w:r>
      <w:r w:rsidR="00227BDD" w:rsidRPr="00415DA9">
        <w:t> </w:t>
      </w:r>
      <w:r w:rsidRPr="00415DA9">
        <w:t>мг/дл (0,48</w:t>
      </w:r>
      <w:r w:rsidR="00227BDD" w:rsidRPr="00415DA9">
        <w:t> </w:t>
      </w:r>
      <w:r w:rsidRPr="00415DA9">
        <w:t xml:space="preserve">ммоль/л) или КК снижен до </w:t>
      </w:r>
      <w:r w:rsidR="00BF014E" w:rsidRPr="00415DA9">
        <w:t>&lt;50 </w:t>
      </w:r>
      <w:r w:rsidRPr="00415DA9">
        <w:t>мл/мин у пациента, получающего тенофовир</w:t>
      </w:r>
      <w:r w:rsidR="000B17E1" w:rsidRPr="00415DA9">
        <w:t>а дизопроксила фумарат</w:t>
      </w:r>
      <w:r w:rsidRPr="00415DA9">
        <w:t>, необходимо провести повторную оценку функции почек в течение 1</w:t>
      </w:r>
      <w:r w:rsidR="00227BDD" w:rsidRPr="00415DA9">
        <w:t> </w:t>
      </w:r>
      <w:r w:rsidRPr="00415DA9">
        <w:t>недели, включая определение уровня глюкозы в крови, калия в крови и концентрации глюкозы в моче</w:t>
      </w:r>
      <w:r w:rsidR="000B17E1" w:rsidRPr="00415DA9">
        <w:t xml:space="preserve"> (см. раздел «Побочное действие»)</w:t>
      </w:r>
      <w:r w:rsidRPr="00415DA9">
        <w:t>. Следует также рассмотреть необходимость отмены лечения тенофовир</w:t>
      </w:r>
      <w:r w:rsidR="00BD0ABE" w:rsidRPr="00415DA9">
        <w:t>а</w:t>
      </w:r>
      <w:r w:rsidRPr="00415DA9">
        <w:t xml:space="preserve"> </w:t>
      </w:r>
      <w:r w:rsidR="00BD0ABE" w:rsidRPr="00415DA9">
        <w:t xml:space="preserve">дизопроксила фумаратом </w:t>
      </w:r>
      <w:r w:rsidRPr="00415DA9">
        <w:t>у</w:t>
      </w:r>
      <w:r w:rsidR="00227BDD" w:rsidRPr="00415DA9">
        <w:t xml:space="preserve"> пациентов со снижением КК до &lt;</w:t>
      </w:r>
      <w:r w:rsidRPr="00415DA9">
        <w:t>50</w:t>
      </w:r>
      <w:r w:rsidR="00227BDD" w:rsidRPr="00415DA9">
        <w:t> </w:t>
      </w:r>
      <w:r w:rsidRPr="00415DA9">
        <w:t>мл/мин или снижением уровня фосфата в сыворотке крови до &lt;1,0</w:t>
      </w:r>
      <w:r w:rsidR="00227BDD" w:rsidRPr="00415DA9">
        <w:t> </w:t>
      </w:r>
      <w:r w:rsidRPr="00415DA9">
        <w:t>мг/дл (0,32</w:t>
      </w:r>
      <w:r w:rsidR="00227BDD" w:rsidRPr="00415DA9">
        <w:t> </w:t>
      </w:r>
      <w:r w:rsidRPr="00415DA9">
        <w:t xml:space="preserve">ммоль/л). Отмена лечения </w:t>
      </w:r>
      <w:r w:rsidR="00BD0ABE" w:rsidRPr="00415DA9">
        <w:t xml:space="preserve">тенофовира дизопроксила фумаратом </w:t>
      </w:r>
      <w:r w:rsidRPr="00415DA9">
        <w:t>также должна быть рассмотрена в случае прогрессирующего снижения функции почек, если ни одна другая причина не была определена.</w:t>
      </w:r>
    </w:p>
    <w:p w14:paraId="143C0516" w14:textId="77777777" w:rsidR="00561D19" w:rsidRPr="00415DA9" w:rsidRDefault="00561D19" w:rsidP="002840C4">
      <w:pPr>
        <w:spacing w:line="360" w:lineRule="auto"/>
        <w:jc w:val="both"/>
        <w:rPr>
          <w:i/>
          <w:iCs/>
        </w:rPr>
      </w:pPr>
      <w:r w:rsidRPr="00415DA9">
        <w:rPr>
          <w:i/>
          <w:iCs/>
        </w:rPr>
        <w:t>Совместное применение с другими препаратами и риск нефротоксичности</w:t>
      </w:r>
    </w:p>
    <w:p w14:paraId="5D9BD9E8" w14:textId="77777777" w:rsidR="00561D19" w:rsidRPr="00415DA9" w:rsidRDefault="00561D19" w:rsidP="002840C4">
      <w:pPr>
        <w:spacing w:line="360" w:lineRule="auto"/>
        <w:jc w:val="both"/>
      </w:pPr>
      <w:r w:rsidRPr="00415DA9">
        <w:t>Необходимо избегать применения тенофовира</w:t>
      </w:r>
      <w:r w:rsidR="00BD0ABE" w:rsidRPr="00415DA9">
        <w:t xml:space="preserve"> дизопроксила фумарата</w:t>
      </w:r>
      <w:r w:rsidRPr="00415DA9">
        <w:t xml:space="preserve"> с одновременным или недавним применением нефротоксических лекарственных </w:t>
      </w:r>
      <w:r w:rsidR="00BA3DDF" w:rsidRPr="00415DA9">
        <w:t>препаратов</w:t>
      </w:r>
      <w:r w:rsidRPr="00415DA9">
        <w:t xml:space="preserve"> (например, аминогликозидов, амфотерицина</w:t>
      </w:r>
      <w:r w:rsidR="00227BDD" w:rsidRPr="00415DA9">
        <w:t> </w:t>
      </w:r>
      <w:r w:rsidRPr="00415DA9">
        <w:t xml:space="preserve">В, фоскарнета, ганцикловира, пентамидина, ванкомицина, цидофовира и интерлейкина-2). Если одновременного применения </w:t>
      </w:r>
      <w:r w:rsidRPr="00415DA9">
        <w:lastRenderedPageBreak/>
        <w:t>тенофовира</w:t>
      </w:r>
      <w:r w:rsidR="00BD0ABE" w:rsidRPr="00415DA9">
        <w:t xml:space="preserve"> дизопроксила фумарат</w:t>
      </w:r>
      <w:r w:rsidR="00227BDD" w:rsidRPr="00415DA9">
        <w:t>а</w:t>
      </w:r>
      <w:r w:rsidRPr="00415DA9">
        <w:t xml:space="preserve"> и нефротоксических </w:t>
      </w:r>
      <w:r w:rsidR="00BA3DDF" w:rsidRPr="00415DA9">
        <w:t>препаратов</w:t>
      </w:r>
      <w:r w:rsidRPr="00415DA9">
        <w:t xml:space="preserve"> избежать невозможно, необходимо еженедельно контролировать функцию почек.</w:t>
      </w:r>
    </w:p>
    <w:p w14:paraId="3F038CF9" w14:textId="77777777" w:rsidR="00561D19" w:rsidRPr="006D32A8" w:rsidRDefault="00561D19" w:rsidP="006D32A8">
      <w:pPr>
        <w:spacing w:line="360" w:lineRule="auto"/>
        <w:jc w:val="both"/>
      </w:pPr>
      <w:r w:rsidRPr="006D32A8">
        <w:t>Были зарегистрированы случаи острой почечной недостаточности после начала терапии высокой дозой или несколькими нестероидными противовоспалительными препаратами (НПВП) у пациентов, получавших тенофовир</w:t>
      </w:r>
      <w:r w:rsidR="00511083" w:rsidRPr="006D32A8">
        <w:t>а дизопроксила фумарат</w:t>
      </w:r>
      <w:r w:rsidRPr="006D32A8">
        <w:t xml:space="preserve"> и имеющих факторы риска почечной дисфункции. Почечная функция должна контролироваться надлежащим образом при совместном применении тенофовира и НПВП. Высокий риск поражения почек был зарегистрирован у пациентов, получающих тенофовир</w:t>
      </w:r>
      <w:r w:rsidR="00511083" w:rsidRPr="006D32A8">
        <w:t>а дизопроксила фумарат</w:t>
      </w:r>
      <w:r w:rsidRPr="006D32A8">
        <w:t xml:space="preserve"> в сочетании с ингибитором протеазы </w:t>
      </w:r>
      <w:r w:rsidR="00511083" w:rsidRPr="006D32A8">
        <w:t xml:space="preserve">бустированным </w:t>
      </w:r>
      <w:r w:rsidRPr="006D32A8">
        <w:t>ритонавиром или кобицистатом. Этим пациентам требуется тщательный мониторинг функции почек (см. раздел «Взаимодействие с другими лекарственными средствами»). У пациентов с факторами риска нарушения функции почек, совместный прием тенофовира</w:t>
      </w:r>
      <w:r w:rsidR="00EE35D4" w:rsidRPr="006D32A8">
        <w:t xml:space="preserve"> дизопроксила фумарата</w:t>
      </w:r>
      <w:r w:rsidRPr="006D32A8">
        <w:t xml:space="preserve"> с </w:t>
      </w:r>
      <w:r w:rsidR="00EE35D4" w:rsidRPr="006D32A8">
        <w:t xml:space="preserve">бустированным </w:t>
      </w:r>
      <w:r w:rsidRPr="006D32A8">
        <w:t>ингибитором протеазы должен быть тщательно проанализирован.</w:t>
      </w:r>
    </w:p>
    <w:p w14:paraId="0643F152" w14:textId="77777777" w:rsidR="00561D19" w:rsidRPr="006D32A8" w:rsidRDefault="00561D19" w:rsidP="006D32A8">
      <w:pPr>
        <w:spacing w:line="360" w:lineRule="auto"/>
        <w:jc w:val="both"/>
      </w:pPr>
      <w:r w:rsidRPr="006D32A8">
        <w:t>Клиническая оценка применения тенофовира</w:t>
      </w:r>
      <w:r w:rsidR="00EE35D4" w:rsidRPr="006D32A8">
        <w:t xml:space="preserve"> дизопроксила фумарата</w:t>
      </w:r>
      <w:r w:rsidRPr="006D32A8">
        <w:t xml:space="preserve"> не проводилась у пациентов, принимавших лекарственные препараты, которые выводятся также почками, через транспортные белки транспортеров органических анионов человека </w:t>
      </w:r>
      <w:r w:rsidRPr="006D32A8">
        <w:rPr>
          <w:lang w:eastAsia="en-US"/>
        </w:rPr>
        <w:t>(</w:t>
      </w:r>
      <w:r w:rsidRPr="006D32A8">
        <w:rPr>
          <w:lang w:val="en-US" w:eastAsia="en-US"/>
        </w:rPr>
        <w:t>hOAT</w:t>
      </w:r>
      <w:r w:rsidRPr="006D32A8">
        <w:rPr>
          <w:lang w:eastAsia="en-US"/>
        </w:rPr>
        <w:t xml:space="preserve">) </w:t>
      </w:r>
      <w:r w:rsidRPr="006D32A8">
        <w:t xml:space="preserve">1 и 3 или </w:t>
      </w:r>
      <w:r w:rsidRPr="006D32A8">
        <w:rPr>
          <w:lang w:val="en-US" w:eastAsia="en-US"/>
        </w:rPr>
        <w:t>MRP</w:t>
      </w:r>
      <w:r w:rsidRPr="006D32A8">
        <w:rPr>
          <w:lang w:eastAsia="en-US"/>
        </w:rPr>
        <w:t xml:space="preserve">4 </w:t>
      </w:r>
      <w:r w:rsidRPr="006D32A8">
        <w:t xml:space="preserve">(например, цидофовир, известный нефротоксический лекарственный препарат). Эти почечные транспортные белки могут отвечать за тубулярную секрецию и, частично, выведение тенофовира и цидофовира через почки. Поэтому фармакокинетика лекарственных препаратов, которые выводятся также почками, включая транспортные белки </w:t>
      </w:r>
      <w:r w:rsidRPr="006D32A8">
        <w:rPr>
          <w:lang w:val="en-US" w:eastAsia="en-US"/>
        </w:rPr>
        <w:t>hOAT</w:t>
      </w:r>
      <w:r w:rsidRPr="006D32A8">
        <w:rPr>
          <w:lang w:eastAsia="en-US"/>
        </w:rPr>
        <w:t xml:space="preserve"> </w:t>
      </w:r>
      <w:r w:rsidRPr="006D32A8">
        <w:t xml:space="preserve">1 и 3 или </w:t>
      </w:r>
      <w:r w:rsidRPr="006D32A8">
        <w:rPr>
          <w:lang w:val="en-US" w:eastAsia="en-US"/>
        </w:rPr>
        <w:t>MRP</w:t>
      </w:r>
      <w:r w:rsidRPr="006D32A8">
        <w:rPr>
          <w:lang w:eastAsia="en-US"/>
        </w:rPr>
        <w:t xml:space="preserve"> </w:t>
      </w:r>
      <w:r w:rsidRPr="006D32A8">
        <w:t xml:space="preserve">4, может изменяться в случае одновременного применения. При отсутствии крайней необходимости, одновременное применение лекарственных </w:t>
      </w:r>
      <w:r w:rsidR="00BA3DDF" w:rsidRPr="006D32A8">
        <w:t>препаратов</w:t>
      </w:r>
      <w:r w:rsidRPr="006D32A8">
        <w:t>, которые выводятся одними и теми же путями через почки, не рекомендуется. Если такого применения избежать невозможно, следует еженедельно наблюдать за функцией почек (см. раздел «Взаимодействие с другими лекарственными средствами»).</w:t>
      </w:r>
    </w:p>
    <w:p w14:paraId="778D877D" w14:textId="77777777" w:rsidR="00561D19" w:rsidRPr="006D32A8" w:rsidRDefault="00561D19" w:rsidP="006D32A8">
      <w:pPr>
        <w:spacing w:line="360" w:lineRule="auto"/>
        <w:jc w:val="both"/>
      </w:pPr>
      <w:r w:rsidRPr="006D32A8">
        <w:rPr>
          <w:i/>
          <w:iCs/>
        </w:rPr>
        <w:t>Нарушение функции почек</w:t>
      </w:r>
    </w:p>
    <w:p w14:paraId="0B93C92A" w14:textId="77777777" w:rsidR="003F5691" w:rsidRPr="006D32A8" w:rsidRDefault="00561D19" w:rsidP="006D32A8">
      <w:pPr>
        <w:widowControl w:val="0"/>
        <w:spacing w:line="360" w:lineRule="auto"/>
        <w:jc w:val="both"/>
      </w:pPr>
      <w:r w:rsidRPr="006D32A8">
        <w:t>Безопасность тенофовира</w:t>
      </w:r>
      <w:r w:rsidR="00EE35D4" w:rsidRPr="006D32A8">
        <w:t xml:space="preserve"> дизопроксила фумарата</w:t>
      </w:r>
      <w:r w:rsidRPr="006D32A8">
        <w:t xml:space="preserve"> в отношении почек исследовалась в очень ограниченной степени у пациентов с нарушением функции почек (К</w:t>
      </w:r>
      <w:r w:rsidR="00415DA9" w:rsidRPr="006D32A8">
        <w:t>К &lt;</w:t>
      </w:r>
      <w:r w:rsidRPr="006D32A8">
        <w:t>80</w:t>
      </w:r>
      <w:r w:rsidR="00415DA9" w:rsidRPr="006D32A8">
        <w:t> </w:t>
      </w:r>
      <w:r w:rsidRPr="006D32A8">
        <w:t>мл/мин).</w:t>
      </w:r>
    </w:p>
    <w:p w14:paraId="3F990263" w14:textId="77777777" w:rsidR="00561D19" w:rsidRPr="006D32A8" w:rsidRDefault="00561D19" w:rsidP="006D32A8">
      <w:pPr>
        <w:spacing w:line="360" w:lineRule="auto"/>
        <w:jc w:val="both"/>
      </w:pPr>
      <w:r w:rsidRPr="006D32A8">
        <w:rPr>
          <w:i/>
          <w:iCs/>
        </w:rPr>
        <w:t xml:space="preserve">Взрослые пациенты с </w:t>
      </w:r>
      <w:r w:rsidRPr="006D32A8">
        <w:rPr>
          <w:i/>
          <w:iCs/>
          <w:spacing w:val="-20"/>
        </w:rPr>
        <w:t>КК</w:t>
      </w:r>
      <w:r w:rsidRPr="006D32A8">
        <w:rPr>
          <w:i/>
          <w:iCs/>
        </w:rPr>
        <w:t xml:space="preserve"> &lt;50</w:t>
      </w:r>
      <w:r w:rsidR="00415DA9" w:rsidRPr="006D32A8">
        <w:rPr>
          <w:i/>
          <w:iCs/>
        </w:rPr>
        <w:t> </w:t>
      </w:r>
      <w:r w:rsidRPr="006D32A8">
        <w:rPr>
          <w:i/>
          <w:iCs/>
        </w:rPr>
        <w:t xml:space="preserve">мл/мин, </w:t>
      </w:r>
      <w:r w:rsidR="002840C4" w:rsidRPr="006D32A8">
        <w:rPr>
          <w:i/>
          <w:iCs/>
        </w:rPr>
        <w:t>в т</w:t>
      </w:r>
      <w:r w:rsidR="00415DA9" w:rsidRPr="006D32A8">
        <w:rPr>
          <w:i/>
          <w:iCs/>
        </w:rPr>
        <w:t xml:space="preserve">ом </w:t>
      </w:r>
      <w:r w:rsidR="002840C4" w:rsidRPr="006D32A8">
        <w:rPr>
          <w:i/>
          <w:iCs/>
        </w:rPr>
        <w:t>ч</w:t>
      </w:r>
      <w:r w:rsidR="00415DA9" w:rsidRPr="006D32A8">
        <w:rPr>
          <w:i/>
          <w:iCs/>
        </w:rPr>
        <w:t>исле</w:t>
      </w:r>
      <w:r w:rsidRPr="006D32A8">
        <w:rPr>
          <w:i/>
          <w:iCs/>
        </w:rPr>
        <w:t xml:space="preserve"> пациенты, которым необходим гемодиализ</w:t>
      </w:r>
    </w:p>
    <w:p w14:paraId="6BFD574B" w14:textId="77777777" w:rsidR="00561D19" w:rsidRPr="006D32A8" w:rsidRDefault="00561D19" w:rsidP="006D32A8">
      <w:pPr>
        <w:spacing w:line="360" w:lineRule="auto"/>
        <w:jc w:val="both"/>
      </w:pPr>
      <w:r w:rsidRPr="006D32A8">
        <w:t>Данные о безопасности и эффективности действия тенофовира</w:t>
      </w:r>
      <w:r w:rsidR="00EE35D4" w:rsidRPr="006D32A8">
        <w:t xml:space="preserve"> дизопроксила фумарата</w:t>
      </w:r>
      <w:r w:rsidRPr="006D32A8">
        <w:t xml:space="preserve"> для пациентов с нарушенной функцией почек ограничены. По этой причине тенофовир</w:t>
      </w:r>
      <w:r w:rsidR="004046BC" w:rsidRPr="006D32A8">
        <w:t>а дизопроксила фумарат</w:t>
      </w:r>
      <w:r w:rsidRPr="006D32A8">
        <w:t xml:space="preserve"> необходимо применять, только если потенциальная польза от лечения превышает потенциальные риски. Применение тенофовира</w:t>
      </w:r>
      <w:r w:rsidR="004046BC" w:rsidRPr="006D32A8">
        <w:t xml:space="preserve"> дизопроксила фумарата не рекомендуется</w:t>
      </w:r>
      <w:r w:rsidRPr="006D32A8">
        <w:t xml:space="preserve"> пациентам с тяжелыми нарушениями функции почек </w:t>
      </w:r>
      <w:r w:rsidRPr="006D32A8">
        <w:lastRenderedPageBreak/>
        <w:t>(</w:t>
      </w:r>
      <w:r w:rsidR="0075120C" w:rsidRPr="006D32A8">
        <w:t>КК </w:t>
      </w:r>
      <w:r w:rsidRPr="006D32A8">
        <w:t>&lt;30</w:t>
      </w:r>
      <w:r w:rsidR="00415DA9" w:rsidRPr="006D32A8">
        <w:t> </w:t>
      </w:r>
      <w:r w:rsidRPr="006D32A8">
        <w:t>мл/мин) и пациентам, которым необходим гемодиализ.</w:t>
      </w:r>
      <w:r w:rsidR="004046BC" w:rsidRPr="006D32A8">
        <w:t xml:space="preserve"> Если недоступно другое лечение, можно изменить интервал между дозами и тщательно следить за функцией почек (см. разделы «Фармакокинетика» и «Способ применения и дозы»).</w:t>
      </w:r>
    </w:p>
    <w:p w14:paraId="710AD573" w14:textId="77777777" w:rsidR="00561D19" w:rsidRPr="006D32A8" w:rsidRDefault="00561D19" w:rsidP="006D32A8">
      <w:pPr>
        <w:spacing w:line="360" w:lineRule="auto"/>
        <w:jc w:val="both"/>
      </w:pPr>
      <w:r w:rsidRPr="006D32A8">
        <w:rPr>
          <w:i/>
          <w:iCs/>
        </w:rPr>
        <w:t>Воздействие на костную ткань</w:t>
      </w:r>
    </w:p>
    <w:p w14:paraId="47AB8AB2" w14:textId="77777777" w:rsidR="00561D19" w:rsidRPr="006D32A8" w:rsidRDefault="00561D19" w:rsidP="006D32A8">
      <w:pPr>
        <w:spacing w:line="360" w:lineRule="auto"/>
        <w:jc w:val="both"/>
      </w:pPr>
      <w:r w:rsidRPr="006D32A8">
        <w:t xml:space="preserve">В контролируемом 144-недельном </w:t>
      </w:r>
      <w:r w:rsidR="00471C1E" w:rsidRPr="006D32A8">
        <w:t>КИ</w:t>
      </w:r>
      <w:r w:rsidRPr="006D32A8">
        <w:t xml:space="preserve"> по сравнению тенофовира</w:t>
      </w:r>
      <w:r w:rsidR="004046BC" w:rsidRPr="006D32A8">
        <w:t xml:space="preserve"> дизопроксила фумарата</w:t>
      </w:r>
      <w:r w:rsidRPr="006D32A8">
        <w:t xml:space="preserve"> со ставудином в комбинации с ламивудином и эфавирензом среди ВИЧ-инфицированных взрослых пациентов, не получавших ранее антиретровирусного лечения, в обеих группах наблюдались небольшие снижения МПК бедренной кости и позвоночника. Снижение МПК позвоночника и изменения от исходных показателей биомаркеров метаболизма костной ткани были достоверно более выраженными в группе тенофовира</w:t>
      </w:r>
      <w:r w:rsidR="004046BC" w:rsidRPr="006D32A8">
        <w:t xml:space="preserve"> дизопроксила фумарата</w:t>
      </w:r>
      <w:r w:rsidRPr="006D32A8">
        <w:t xml:space="preserve"> на 144</w:t>
      </w:r>
      <w:r w:rsidR="006D32A8" w:rsidRPr="006D32A8">
        <w:t> </w:t>
      </w:r>
      <w:r w:rsidRPr="006D32A8">
        <w:t>неделе. Снижение МПК бедренной кости было достоверно более выраженным в этой группе до 96</w:t>
      </w:r>
      <w:r w:rsidR="006D32A8" w:rsidRPr="006D32A8">
        <w:t> </w:t>
      </w:r>
      <w:r w:rsidRPr="006D32A8">
        <w:t>недель. Однако через 144</w:t>
      </w:r>
      <w:r w:rsidR="006D32A8" w:rsidRPr="006D32A8">
        <w:t> </w:t>
      </w:r>
      <w:r w:rsidRPr="006D32A8">
        <w:t>недели повышения риска переломов или признаков клинически значимых патологий костной ткани не наблюдалось.</w:t>
      </w:r>
    </w:p>
    <w:p w14:paraId="1AF4BA7D" w14:textId="77777777" w:rsidR="006B06B6" w:rsidRPr="006D32A8" w:rsidRDefault="006B06B6" w:rsidP="006D32A8">
      <w:pPr>
        <w:spacing w:line="360" w:lineRule="auto"/>
        <w:jc w:val="both"/>
      </w:pPr>
      <w:r w:rsidRPr="006D32A8">
        <w:t>В других исследованиях (проспективных и перекрестных) наиболее выраженные изменения МПК были обнаружены у пациентов, получавших тенофовира дизопроксила фумарат в составе схемы, содержавшей бустированный ингибитор протеазы. Пациентам с остеопорозом, имеющим высокий риск переломов, следует подбирать другие методы лечения.</w:t>
      </w:r>
    </w:p>
    <w:p w14:paraId="39A30F7F" w14:textId="77777777" w:rsidR="00561D19" w:rsidRPr="006D32A8" w:rsidRDefault="00561D19" w:rsidP="006D32A8">
      <w:pPr>
        <w:spacing w:line="360" w:lineRule="auto"/>
        <w:jc w:val="both"/>
      </w:pPr>
      <w:r w:rsidRPr="006D32A8">
        <w:t>Патологические изменения костной ткани (изредка ведущие к переломам) могут обусловливаться поражением проксимальных канальцев почек (см. раздел «Побочное действие»).</w:t>
      </w:r>
    </w:p>
    <w:p w14:paraId="3F965CEB" w14:textId="77777777" w:rsidR="00561D19" w:rsidRPr="006D32A8" w:rsidRDefault="00561D19" w:rsidP="006D32A8">
      <w:pPr>
        <w:spacing w:line="360" w:lineRule="auto"/>
        <w:jc w:val="both"/>
      </w:pPr>
      <w:r w:rsidRPr="006D32A8">
        <w:t>При подозрении или выявлении патологических изменений костной ткани следует обратиться за консультацией к соответствующему специалисту.</w:t>
      </w:r>
    </w:p>
    <w:p w14:paraId="06777ECA" w14:textId="77777777" w:rsidR="00561D19" w:rsidRPr="00B021D0" w:rsidRDefault="00C349A9" w:rsidP="006D32A8">
      <w:pPr>
        <w:spacing w:line="360" w:lineRule="auto"/>
        <w:jc w:val="both"/>
        <w:rPr>
          <w:i/>
          <w:u w:val="single"/>
        </w:rPr>
      </w:pPr>
      <w:r w:rsidRPr="00C349A9">
        <w:rPr>
          <w:i/>
          <w:u w:val="single"/>
        </w:rPr>
        <w:t>Влияние на функцию почек и костную ткань у детей с 12 до 18 лет</w:t>
      </w:r>
    </w:p>
    <w:p w14:paraId="3147AF93" w14:textId="77777777" w:rsidR="00561D19" w:rsidRPr="006D32A8" w:rsidRDefault="00561D19" w:rsidP="006D32A8">
      <w:pPr>
        <w:spacing w:line="360" w:lineRule="auto"/>
        <w:jc w:val="both"/>
      </w:pPr>
      <w:r w:rsidRPr="006D32A8">
        <w:t>Отдаленные последствия влияния на костную ткань и токсическое воздействие на почки у детей окончательно не установлены. Кроме того, не до конца установлена обратимость токсического воздействия на почки. Поэтому рекомендуется использовать многосторонний подход для адекватного определения в каждом отдельном случае соотношения польза/риск лечения, принятия решения о соответствующем наблюдении в ходе лечения (включая принятие решения об отмене терапии) и рассмотрения целесообразности применения дополнительных препаратов.</w:t>
      </w:r>
    </w:p>
    <w:p w14:paraId="262769FA" w14:textId="77777777" w:rsidR="00561D19" w:rsidRPr="006D32A8" w:rsidRDefault="00561D19" w:rsidP="006D32A8">
      <w:pPr>
        <w:spacing w:line="360" w:lineRule="auto"/>
        <w:jc w:val="both"/>
      </w:pPr>
      <w:r w:rsidRPr="006D32A8">
        <w:rPr>
          <w:i/>
          <w:iCs/>
        </w:rPr>
        <w:t>Контроль функции почек</w:t>
      </w:r>
    </w:p>
    <w:p w14:paraId="511971EA" w14:textId="77777777" w:rsidR="00561D19" w:rsidRPr="006D32A8" w:rsidRDefault="00561D19" w:rsidP="006D32A8">
      <w:pPr>
        <w:spacing w:line="360" w:lineRule="auto"/>
        <w:jc w:val="both"/>
      </w:pPr>
      <w:r w:rsidRPr="006D32A8">
        <w:t>Перед началом лечения необходимо провести оценку функции почек (КК и уровень фосфатов в сыворотке крови), а также необходимо осуществлять наблюдение в ходе лечения, как и для взрослых (см. выше).</w:t>
      </w:r>
    </w:p>
    <w:p w14:paraId="5833EC88" w14:textId="77777777" w:rsidR="00561D19" w:rsidRPr="00F600AB" w:rsidRDefault="00561D19" w:rsidP="00F600AB">
      <w:pPr>
        <w:spacing w:line="360" w:lineRule="auto"/>
        <w:jc w:val="both"/>
      </w:pPr>
      <w:r w:rsidRPr="00F600AB">
        <w:rPr>
          <w:i/>
          <w:iCs/>
        </w:rPr>
        <w:lastRenderedPageBreak/>
        <w:t>Ведение пациентов с нарушением функции почек</w:t>
      </w:r>
    </w:p>
    <w:p w14:paraId="5B060508" w14:textId="77777777" w:rsidR="00561D19" w:rsidRPr="00F600AB" w:rsidRDefault="00561D19" w:rsidP="00F600AB">
      <w:pPr>
        <w:spacing w:line="360" w:lineRule="auto"/>
        <w:jc w:val="both"/>
      </w:pPr>
      <w:r w:rsidRPr="00F600AB">
        <w:t>Если у любого пациента детского возраста, получающего тенофовир</w:t>
      </w:r>
      <w:r w:rsidR="0002674E" w:rsidRPr="00F600AB">
        <w:t>а дизопроксила фумарат</w:t>
      </w:r>
      <w:r w:rsidRPr="00F600AB">
        <w:t>, урове</w:t>
      </w:r>
      <w:r w:rsidR="006D32A8" w:rsidRPr="00F600AB">
        <w:t>нь фосфатов в сыворотке крови &lt;</w:t>
      </w:r>
      <w:r w:rsidRPr="00F600AB">
        <w:t>3,0</w:t>
      </w:r>
      <w:r w:rsidR="006D32A8" w:rsidRPr="00F600AB">
        <w:t> </w:t>
      </w:r>
      <w:r w:rsidRPr="00F600AB">
        <w:t>мг/дл (0,96</w:t>
      </w:r>
      <w:r w:rsidR="006D32A8" w:rsidRPr="00F600AB">
        <w:t> </w:t>
      </w:r>
      <w:r w:rsidRPr="00F600AB">
        <w:t>ммоль/л), необходимо провести повторную оценку функции почек в течение 1</w:t>
      </w:r>
      <w:r w:rsidR="006D32A8" w:rsidRPr="00F600AB">
        <w:t> </w:t>
      </w:r>
      <w:r w:rsidRPr="00F600AB">
        <w:t xml:space="preserve">недели, включая определение уровня глюкозы в крови, калия в крови и концентрации глюкозы в моче. При подозрении на нарушения со стороны почек или их выявлении необходимо проконсультироваться с нефрологом с целью рассмотрения необходимости отмены лечения </w:t>
      </w:r>
      <w:r w:rsidR="0002674E" w:rsidRPr="00F600AB">
        <w:t>тенофовира дизопроксила фумаратом</w:t>
      </w:r>
      <w:r w:rsidRPr="00F600AB">
        <w:t xml:space="preserve">. Отмена лечения </w:t>
      </w:r>
      <w:r w:rsidR="0002674E" w:rsidRPr="00F600AB">
        <w:t xml:space="preserve">тенофовира дизопроксила фумаратом </w:t>
      </w:r>
      <w:r w:rsidRPr="00F600AB">
        <w:t>также должна быть рассмотрена в случае прогрессирующего снижения функции почек, когда ни одна другая причина не была определена.</w:t>
      </w:r>
    </w:p>
    <w:p w14:paraId="10FBE5C4" w14:textId="77777777" w:rsidR="00561D19" w:rsidRPr="00F600AB" w:rsidRDefault="00561D19" w:rsidP="00F600AB">
      <w:pPr>
        <w:spacing w:line="360" w:lineRule="auto"/>
        <w:jc w:val="both"/>
      </w:pPr>
      <w:r w:rsidRPr="00F600AB">
        <w:rPr>
          <w:i/>
          <w:iCs/>
        </w:rPr>
        <w:t>Совместное применение и риск нефротоксичности</w:t>
      </w:r>
    </w:p>
    <w:p w14:paraId="2AAA4C39" w14:textId="77777777" w:rsidR="00561D19" w:rsidRPr="00F600AB" w:rsidRDefault="00561D19" w:rsidP="00F600AB">
      <w:pPr>
        <w:spacing w:line="360" w:lineRule="auto"/>
        <w:jc w:val="both"/>
      </w:pPr>
      <w:r w:rsidRPr="00F600AB">
        <w:t>Необходимо следовать тем же рекомендациям, которые применимы для взрослых (см. выше).</w:t>
      </w:r>
    </w:p>
    <w:p w14:paraId="623AED23" w14:textId="77777777" w:rsidR="00561D19" w:rsidRPr="00F600AB" w:rsidRDefault="00561D19" w:rsidP="00F600AB">
      <w:pPr>
        <w:spacing w:line="360" w:lineRule="auto"/>
        <w:jc w:val="both"/>
      </w:pPr>
      <w:r w:rsidRPr="00F600AB">
        <w:rPr>
          <w:i/>
          <w:iCs/>
        </w:rPr>
        <w:t>Нарушение функции почек</w:t>
      </w:r>
    </w:p>
    <w:p w14:paraId="09A84E08" w14:textId="77777777" w:rsidR="00561D19" w:rsidRPr="00F600AB" w:rsidRDefault="0002674E" w:rsidP="00F600AB">
      <w:pPr>
        <w:spacing w:line="360" w:lineRule="auto"/>
        <w:jc w:val="both"/>
      </w:pPr>
      <w:r w:rsidRPr="00F600AB">
        <w:t>Противопоказано</w:t>
      </w:r>
      <w:r w:rsidR="00561D19" w:rsidRPr="00F600AB">
        <w:t xml:space="preserve"> применять тенофовир</w:t>
      </w:r>
      <w:r w:rsidRPr="00F600AB">
        <w:t>а дизопроксила фумарат</w:t>
      </w:r>
      <w:r w:rsidR="00561D19" w:rsidRPr="00F600AB">
        <w:t xml:space="preserve"> у детей с нарушением функции почек (см. раздел «Способ применения и дозы»). Не следует начинать терапию </w:t>
      </w:r>
      <w:r w:rsidR="00301D08" w:rsidRPr="00F600AB">
        <w:t xml:space="preserve">тенофовира дизопроксила фумаратом </w:t>
      </w:r>
      <w:r w:rsidR="00561D19" w:rsidRPr="00F600AB">
        <w:t>у детей с нарушением функции почек, а также необходимо отменить лечение у тех пациентов детского возраста, у которых нарушение функции почек развилось в течение терапии тенофовиром.</w:t>
      </w:r>
    </w:p>
    <w:p w14:paraId="18C6351E" w14:textId="77777777" w:rsidR="00561D19" w:rsidRPr="00F600AB" w:rsidRDefault="00561D19" w:rsidP="00F600AB">
      <w:pPr>
        <w:spacing w:line="360" w:lineRule="auto"/>
        <w:jc w:val="both"/>
      </w:pPr>
      <w:r w:rsidRPr="00F600AB">
        <w:rPr>
          <w:i/>
          <w:iCs/>
        </w:rPr>
        <w:t>Воздействие на костную ткань</w:t>
      </w:r>
    </w:p>
    <w:p w14:paraId="06F079D2" w14:textId="77777777" w:rsidR="00561D19" w:rsidRPr="00F600AB" w:rsidRDefault="000952F2" w:rsidP="00F600AB">
      <w:pPr>
        <w:spacing w:line="360" w:lineRule="auto"/>
        <w:jc w:val="both"/>
      </w:pPr>
      <w:r>
        <w:t xml:space="preserve">Препарат </w:t>
      </w:r>
      <w:r w:rsidR="002840C4" w:rsidRPr="00F600AB">
        <w:t>Тенофовир</w:t>
      </w:r>
      <w:r w:rsidR="00D42A12" w:rsidRPr="00F600AB">
        <w:t> </w:t>
      </w:r>
      <w:r w:rsidR="002840C4" w:rsidRPr="00F600AB">
        <w:t>ВМ</w:t>
      </w:r>
      <w:r w:rsidR="00561D19" w:rsidRPr="00F600AB">
        <w:t xml:space="preserve"> может стать причиной снижения МПК. Влияние изменения МПК, связанного с </w:t>
      </w:r>
      <w:r w:rsidR="00301D08" w:rsidRPr="00F600AB">
        <w:t xml:space="preserve">тенофовира дизопроксила фумаратом </w:t>
      </w:r>
      <w:r w:rsidR="00561D19" w:rsidRPr="00F600AB">
        <w:t>на костную ткань в отдаленной перспективе и на риск переломов в будущем в настоящее время неизвестно.</w:t>
      </w:r>
    </w:p>
    <w:p w14:paraId="527E306D" w14:textId="77777777" w:rsidR="00561D19" w:rsidRPr="00F600AB" w:rsidRDefault="00561D19" w:rsidP="00F600AB">
      <w:pPr>
        <w:spacing w:line="360" w:lineRule="auto"/>
        <w:jc w:val="both"/>
      </w:pPr>
      <w:r w:rsidRPr="00F600AB">
        <w:t>При обнаружении или подозрении на костную патологию у детей необходимо проконсультироваться с эндокринологом и/или нефрологом.</w:t>
      </w:r>
    </w:p>
    <w:p w14:paraId="4E1495D8" w14:textId="77777777" w:rsidR="003F5691" w:rsidRPr="00B021D0" w:rsidRDefault="00C349A9" w:rsidP="00F600AB">
      <w:pPr>
        <w:spacing w:line="360" w:lineRule="auto"/>
        <w:jc w:val="both"/>
        <w:rPr>
          <w:u w:val="single"/>
        </w:rPr>
      </w:pPr>
      <w:r w:rsidRPr="00C349A9">
        <w:rPr>
          <w:i/>
          <w:iCs/>
          <w:u w:val="single"/>
        </w:rPr>
        <w:t>Заболевания печени</w:t>
      </w:r>
    </w:p>
    <w:p w14:paraId="06C56DEB" w14:textId="77777777" w:rsidR="00561D19" w:rsidRPr="00F600AB" w:rsidRDefault="00561D19" w:rsidP="00F600AB">
      <w:pPr>
        <w:spacing w:line="360" w:lineRule="auto"/>
        <w:jc w:val="both"/>
      </w:pPr>
      <w:r w:rsidRPr="00F600AB">
        <w:t>Данные относительно безопасности и эффективности для пациентов после пересадки печени очень малочисленны.</w:t>
      </w:r>
    </w:p>
    <w:p w14:paraId="5F1679CE" w14:textId="77777777" w:rsidR="00561D19" w:rsidRPr="00F600AB" w:rsidRDefault="00561D19" w:rsidP="00F600AB">
      <w:pPr>
        <w:spacing w:line="360" w:lineRule="auto"/>
        <w:jc w:val="both"/>
      </w:pPr>
      <w:r w:rsidRPr="00F600AB">
        <w:t xml:space="preserve">Данные относительно безопасности и эффективности приема тенофовира </w:t>
      </w:r>
      <w:r w:rsidR="00301D08" w:rsidRPr="00F600AB">
        <w:t xml:space="preserve">дизопроксила фумарата </w:t>
      </w:r>
      <w:r w:rsidRPr="00F600AB">
        <w:t>для пациентов с хроническим гепатитом</w:t>
      </w:r>
      <w:r w:rsidR="002205BC" w:rsidRPr="00F600AB">
        <w:t> </w:t>
      </w:r>
      <w:r w:rsidRPr="00F600AB">
        <w:t>В, с декомпенсированн</w:t>
      </w:r>
      <w:r w:rsidR="006D32A8" w:rsidRPr="00F600AB">
        <w:t>ым циррозом печени и степенью &gt;</w:t>
      </w:r>
      <w:r w:rsidRPr="00F600AB">
        <w:t>9 по классификации Чайлд-Пью, ограничены. Такие пациенты могут иметь более высокий риск серьезных побочных реакций со стороны печени и почек. Вследствие этого необходимо тщательно контролировать параметры гепатобилиарной системы и почек у данной категории пациентов.</w:t>
      </w:r>
    </w:p>
    <w:p w14:paraId="7C4BBED5" w14:textId="77777777" w:rsidR="00561D19" w:rsidRPr="00FC031E" w:rsidRDefault="00C349A9" w:rsidP="00F600AB">
      <w:pPr>
        <w:keepNext/>
        <w:spacing w:line="360" w:lineRule="auto"/>
        <w:jc w:val="both"/>
        <w:rPr>
          <w:i/>
          <w:iCs/>
          <w:u w:val="single"/>
        </w:rPr>
      </w:pPr>
      <w:r w:rsidRPr="00FC031E">
        <w:rPr>
          <w:i/>
          <w:iCs/>
          <w:u w:val="single"/>
        </w:rPr>
        <w:lastRenderedPageBreak/>
        <w:t>Обострение гепатита</w:t>
      </w:r>
    </w:p>
    <w:p w14:paraId="00E4D9E8" w14:textId="77777777" w:rsidR="00561D19" w:rsidRPr="009E6A55" w:rsidRDefault="00561D19" w:rsidP="00F600AB">
      <w:pPr>
        <w:spacing w:line="360" w:lineRule="auto"/>
        <w:jc w:val="both"/>
      </w:pPr>
      <w:r w:rsidRPr="009E6A55">
        <w:rPr>
          <w:i/>
          <w:iCs/>
        </w:rPr>
        <w:t>Обострение во время лечения</w:t>
      </w:r>
      <w:r w:rsidR="00301D08" w:rsidRPr="009E6A55">
        <w:rPr>
          <w:i/>
          <w:iCs/>
        </w:rPr>
        <w:t>:</w:t>
      </w:r>
      <w:r w:rsidR="00EB5C85" w:rsidRPr="009E6A55">
        <w:rPr>
          <w:i/>
          <w:iCs/>
        </w:rPr>
        <w:t xml:space="preserve"> </w:t>
      </w:r>
      <w:r w:rsidRPr="009E6A55">
        <w:t>Спонтанные обострения хронического гепатита</w:t>
      </w:r>
      <w:r w:rsidR="002205BC" w:rsidRPr="009E6A55">
        <w:t> </w:t>
      </w:r>
      <w:proofErr w:type="gramStart"/>
      <w:r w:rsidRPr="009E6A55">
        <w:t>В являются</w:t>
      </w:r>
      <w:proofErr w:type="gramEnd"/>
      <w:r w:rsidRPr="009E6A55">
        <w:t xml:space="preserve"> относительно частыми и характеризуются временным повышением </w:t>
      </w:r>
      <w:r w:rsidR="00301D08" w:rsidRPr="009E6A55">
        <w:t xml:space="preserve">активности </w:t>
      </w:r>
      <w:r w:rsidRPr="009E6A55">
        <w:t>аланинаминотрансферазы (АЛТ) в сыворотке крови. После начала антивирусного лечения у некоторых пациентов может повышаться уровень АЛТ в сыворотке крови (см. раздел «Побочное действие»). У пациентов с компенсированным заболеванием печени повышение уровня АЛТ в сыворотке крови обычно не сопровождается повышением концентрации билирубина в сыворотке крови или декомпенсацией функции печени. Пациенты с циррозом печени могут иметь повышенный риск декомпенсации функции печени после обострения гепатита, поэтому за ними необходимо тщательное наблюдение во время лечения.</w:t>
      </w:r>
    </w:p>
    <w:p w14:paraId="66885BBE" w14:textId="77777777" w:rsidR="00561D19" w:rsidRPr="009E6A55" w:rsidRDefault="00561D19" w:rsidP="00F600AB">
      <w:pPr>
        <w:spacing w:line="360" w:lineRule="auto"/>
        <w:jc w:val="both"/>
      </w:pPr>
      <w:r w:rsidRPr="009E6A55">
        <w:rPr>
          <w:i/>
          <w:iCs/>
        </w:rPr>
        <w:t>Обострение после прекращения лечения</w:t>
      </w:r>
      <w:r w:rsidR="00EB5C85" w:rsidRPr="009E6A55">
        <w:rPr>
          <w:i/>
          <w:iCs/>
        </w:rPr>
        <w:t xml:space="preserve">: </w:t>
      </w:r>
      <w:r w:rsidRPr="009E6A55">
        <w:t xml:space="preserve">Также сообщалось об обострении гепатита у пациентов, прекративших лечение </w:t>
      </w:r>
      <w:r w:rsidR="00746B0E" w:rsidRPr="009E6A55">
        <w:t>гепатита </w:t>
      </w:r>
      <w:r w:rsidRPr="009E6A55">
        <w:t xml:space="preserve">В. Обострения после отмены терапии обычно связаны с повышением концентрации ДНК </w:t>
      </w:r>
      <w:r w:rsidR="00B61CED" w:rsidRPr="009E6A55">
        <w:t>ВГ</w:t>
      </w:r>
      <w:r w:rsidRPr="009E6A55">
        <w:t>В, и большинство из них разрешаются без дополнительных вмешательств. Однако сообщалось о тяжелых обострениях, включая летальные случаи. В течение 6</w:t>
      </w:r>
      <w:r w:rsidR="00B61CED" w:rsidRPr="009E6A55">
        <w:t> </w:t>
      </w:r>
      <w:r w:rsidRPr="009E6A55">
        <w:t>месяцев после прекращения лечения гепатита</w:t>
      </w:r>
      <w:r w:rsidR="002205BC" w:rsidRPr="009E6A55">
        <w:t> </w:t>
      </w:r>
      <w:r w:rsidRPr="009E6A55">
        <w:t>В необходимо регулярно контролировать функциональное состояние печени по клиническим и лабораторным показателям. В случае необходимости может быть целесообразным возобновление лечения гепатита</w:t>
      </w:r>
      <w:r w:rsidR="002205BC" w:rsidRPr="009E6A55">
        <w:t> </w:t>
      </w:r>
      <w:r w:rsidRPr="009E6A55">
        <w:t>В. Для пациентов с прогрессирующим заболеванием печени или с циррозом прекращение лечения не рекомендуется, поскольку обострение гепатита после отмены терапии может привести к декомпенсации функции печени.</w:t>
      </w:r>
    </w:p>
    <w:p w14:paraId="1834664A" w14:textId="77777777" w:rsidR="00561D19" w:rsidRPr="009E6A55" w:rsidRDefault="00561D19" w:rsidP="00F600AB">
      <w:pPr>
        <w:spacing w:line="360" w:lineRule="auto"/>
        <w:jc w:val="both"/>
      </w:pPr>
      <w:r w:rsidRPr="009E6A55">
        <w:t>У пациентов с декомпенсированным циррозом обострение гепатита протекает особенно серьезно, иногда с летальным исходом.</w:t>
      </w:r>
    </w:p>
    <w:p w14:paraId="2D44D0CB" w14:textId="77777777" w:rsidR="00561D19" w:rsidRPr="009E6A55" w:rsidRDefault="00561D19" w:rsidP="00F600AB">
      <w:pPr>
        <w:spacing w:line="360" w:lineRule="auto"/>
        <w:jc w:val="both"/>
      </w:pPr>
      <w:r w:rsidRPr="009E6A55">
        <w:rPr>
          <w:i/>
          <w:iCs/>
        </w:rPr>
        <w:t>Сопутствующая инфекция вирусами гепатита</w:t>
      </w:r>
      <w:r w:rsidR="002205BC" w:rsidRPr="009E6A55">
        <w:rPr>
          <w:i/>
          <w:iCs/>
        </w:rPr>
        <w:t> </w:t>
      </w:r>
      <w:r w:rsidRPr="009E6A55">
        <w:rPr>
          <w:i/>
          <w:iCs/>
        </w:rPr>
        <w:t xml:space="preserve">С или </w:t>
      </w:r>
      <w:r w:rsidRPr="009E6A55">
        <w:rPr>
          <w:i/>
          <w:iCs/>
          <w:lang w:val="en-US" w:eastAsia="en-US"/>
        </w:rPr>
        <w:t>D</w:t>
      </w:r>
      <w:r w:rsidR="00EB5C85" w:rsidRPr="009E6A55">
        <w:rPr>
          <w:i/>
          <w:iCs/>
          <w:lang w:eastAsia="en-US"/>
        </w:rPr>
        <w:t>:</w:t>
      </w:r>
      <w:r w:rsidR="00307BD9" w:rsidRPr="009E6A55">
        <w:rPr>
          <w:i/>
          <w:iCs/>
          <w:lang w:eastAsia="en-US"/>
        </w:rPr>
        <w:t xml:space="preserve"> </w:t>
      </w:r>
      <w:r w:rsidRPr="009E6A55">
        <w:t>Данные относительно эффективности тенофовира</w:t>
      </w:r>
      <w:r w:rsidR="00EB5C85" w:rsidRPr="009E6A55">
        <w:t xml:space="preserve"> дизопроксила фумарата</w:t>
      </w:r>
      <w:r w:rsidRPr="009E6A55">
        <w:t xml:space="preserve"> у пациентов с сопутствующей инфекцией вирусом гепатита</w:t>
      </w:r>
      <w:r w:rsidR="002205BC" w:rsidRPr="009E6A55">
        <w:t> </w:t>
      </w:r>
      <w:r w:rsidRPr="009E6A55">
        <w:t xml:space="preserve">С или </w:t>
      </w:r>
      <w:r w:rsidRPr="009E6A55">
        <w:rPr>
          <w:lang w:val="en-US" w:eastAsia="en-US"/>
        </w:rPr>
        <w:t>D</w:t>
      </w:r>
      <w:r w:rsidRPr="009E6A55">
        <w:rPr>
          <w:lang w:eastAsia="en-US"/>
        </w:rPr>
        <w:t xml:space="preserve"> </w:t>
      </w:r>
      <w:r w:rsidRPr="009E6A55">
        <w:t>отсутствуют.</w:t>
      </w:r>
    </w:p>
    <w:p w14:paraId="440AC028" w14:textId="77777777" w:rsidR="00561D19" w:rsidRPr="009E6A55" w:rsidRDefault="00561D19" w:rsidP="00F600AB">
      <w:pPr>
        <w:spacing w:line="360" w:lineRule="auto"/>
        <w:jc w:val="both"/>
        <w:rPr>
          <w:bCs/>
          <w:i/>
          <w:iCs/>
        </w:rPr>
      </w:pPr>
      <w:r w:rsidRPr="009E6A55">
        <w:rPr>
          <w:i/>
          <w:iCs/>
        </w:rPr>
        <w:t>Сопутствующая инфекция ВИЧ-1 и вирусом гепатита</w:t>
      </w:r>
      <w:r w:rsidR="002205BC" w:rsidRPr="009E6A55">
        <w:rPr>
          <w:i/>
          <w:iCs/>
        </w:rPr>
        <w:t> </w:t>
      </w:r>
      <w:r w:rsidRPr="009E6A55">
        <w:rPr>
          <w:i/>
          <w:iCs/>
        </w:rPr>
        <w:t>В</w:t>
      </w:r>
      <w:r w:rsidR="00EB5C85" w:rsidRPr="009E6A55">
        <w:rPr>
          <w:i/>
          <w:iCs/>
        </w:rPr>
        <w:t>:</w:t>
      </w:r>
      <w:r w:rsidR="00307BD9" w:rsidRPr="009E6A55">
        <w:rPr>
          <w:i/>
          <w:iCs/>
        </w:rPr>
        <w:t xml:space="preserve"> </w:t>
      </w:r>
      <w:proofErr w:type="gramStart"/>
      <w:r w:rsidRPr="009E6A55">
        <w:t>В</w:t>
      </w:r>
      <w:proofErr w:type="gramEnd"/>
      <w:r w:rsidRPr="009E6A55">
        <w:t xml:space="preserve"> связи с риском развития резистентности ВИЧ у пациентов с сопутствующей инфекцией ВИЧ/ВГВ тенофовир</w:t>
      </w:r>
      <w:r w:rsidR="00EB5C85" w:rsidRPr="009E6A55">
        <w:t>а дизопроксила фумарат</w:t>
      </w:r>
      <w:r w:rsidRPr="009E6A55">
        <w:t xml:space="preserve"> необходимо применять только как часть соответствующей антиретровирусной комбинированной схемы. Пациенты, у которых ранее была отмечена патология печени, включая хронический активный гепатит, имеют повышенную частоту отклонений показателей функции печени во время комбинированной антиретровирусной терапии, и за ними необходимо наблюдать в соответствии со стандартной практикой. При ухудшении течения заболевания печени у таких пациентов, следует рассмотреть вопрос о необходимости перерыва в лечении или отмене лечения. Однако необходимо отметить, что повышение </w:t>
      </w:r>
      <w:r w:rsidR="00EB5C85" w:rsidRPr="009E6A55">
        <w:t xml:space="preserve">активности </w:t>
      </w:r>
      <w:r w:rsidRPr="009E6A55">
        <w:t xml:space="preserve">АЛТ может быть частью положительного противовирусного ответа </w:t>
      </w:r>
      <w:r w:rsidRPr="009E6A55">
        <w:lastRenderedPageBreak/>
        <w:t xml:space="preserve">в отношении ВГВ на терапию </w:t>
      </w:r>
      <w:r w:rsidR="00EB5C85" w:rsidRPr="009E6A55">
        <w:t>тенофовира дизопроксила фумаратом</w:t>
      </w:r>
      <w:r w:rsidRPr="009E6A55">
        <w:t xml:space="preserve">, см. выше </w:t>
      </w:r>
      <w:r w:rsidR="00704504" w:rsidRPr="009E6A55">
        <w:rPr>
          <w:bCs/>
          <w:i/>
          <w:iCs/>
        </w:rPr>
        <w:t>«Обострение гепатита».</w:t>
      </w:r>
    </w:p>
    <w:p w14:paraId="6B7A9226" w14:textId="77777777" w:rsidR="00EB5C85" w:rsidRPr="009E6A55" w:rsidRDefault="00EB5C85" w:rsidP="00F600AB">
      <w:pPr>
        <w:spacing w:line="360" w:lineRule="auto"/>
        <w:jc w:val="both"/>
        <w:rPr>
          <w:bCs/>
          <w:iCs/>
        </w:rPr>
      </w:pPr>
      <w:r w:rsidRPr="009E6A55">
        <w:rPr>
          <w:bCs/>
          <w:i/>
          <w:iCs/>
        </w:rPr>
        <w:t>Применение с некоторыми препаратами, действующими на вирус гепатита</w:t>
      </w:r>
      <w:r w:rsidR="002205BC" w:rsidRPr="009E6A55">
        <w:rPr>
          <w:bCs/>
          <w:i/>
          <w:iCs/>
        </w:rPr>
        <w:t> </w:t>
      </w:r>
      <w:r w:rsidRPr="009E6A55">
        <w:rPr>
          <w:bCs/>
          <w:i/>
          <w:iCs/>
        </w:rPr>
        <w:t>С</w:t>
      </w:r>
    </w:p>
    <w:p w14:paraId="5845B0EB" w14:textId="77777777" w:rsidR="00EB5C85" w:rsidRPr="009E6A55" w:rsidRDefault="00EB5C85" w:rsidP="00F600AB">
      <w:pPr>
        <w:spacing w:line="360" w:lineRule="auto"/>
        <w:jc w:val="both"/>
      </w:pPr>
      <w:r w:rsidRPr="009E6A55">
        <w:rPr>
          <w:bCs/>
          <w:iCs/>
        </w:rPr>
        <w:t xml:space="preserve">Показано, что совместное </w:t>
      </w:r>
      <w:r w:rsidR="0082708D" w:rsidRPr="009E6A55">
        <w:rPr>
          <w:bCs/>
          <w:iCs/>
        </w:rPr>
        <w:t xml:space="preserve">применение тенофовира </w:t>
      </w:r>
      <w:r w:rsidR="0082708D" w:rsidRPr="009E6A55">
        <w:t>дизопроксила фумарата с препаратами ледипасвир/софосбувир, велпатасвир/софосбувир или велпатасвир/воксилапревир/</w:t>
      </w:r>
      <w:r w:rsidR="00F600AB" w:rsidRPr="009E6A55">
        <w:t xml:space="preserve"> </w:t>
      </w:r>
      <w:r w:rsidR="0082708D" w:rsidRPr="009E6A55">
        <w:t xml:space="preserve">софосбувир повышает концентрацию тенофовира в плазме крови, особенно при сочетании со схемой лечения ВИЧ-инфекции, содержащей тенофовира дизопроксила фумарат и бустер (ритонавир или кобицистат). Безопасность </w:t>
      </w:r>
      <w:r w:rsidR="00F600AB" w:rsidRPr="009E6A55">
        <w:t>т</w:t>
      </w:r>
      <w:r w:rsidR="0082708D" w:rsidRPr="009E6A55">
        <w:t>енофовира дизопроксила фумарата в сочетании с препаратами ледипасвир/софосбувир, велпатасвир/софосбувир или велпатасвир/воксилапревир/софосбувир и бустером (ритонавир или кобицистат) не установлена. Необходимо анализировать потенциальный риск и преимущества, связанные с совместным назначением препаратов ледипасвир/софосбувир, велпатасвир/софосбувир или велпатасвир/воксилапревир/софосбувир и тенофовира дизопроксила фумарата в сочетании с бустированным ингибитором протеазы ВИЧ (например, атазанавиром или дарунавиром), особенно для пациентов с повышенным риском нарушения функции почек. Пациенты, получающие препараты ледипасвир/софосбувир, велпатасвир/софосбувир или велпатасвир/воксилапревир/софосбувир одновременно с тенофовира дизопроксила фумаратом и бустированным ингибитором протеазы ВИЧ, должны находиться под наблюдением для выявления нежелательных реакций, связанных с тенофовира дизопроксила фумаратом.</w:t>
      </w:r>
    </w:p>
    <w:p w14:paraId="04A0FD9E" w14:textId="77777777" w:rsidR="00DE0BAA" w:rsidRPr="00B021D0" w:rsidRDefault="00C349A9" w:rsidP="002840C4">
      <w:pPr>
        <w:spacing w:line="360" w:lineRule="auto"/>
        <w:jc w:val="both"/>
        <w:rPr>
          <w:i/>
          <w:u w:val="single"/>
        </w:rPr>
      </w:pPr>
      <w:r w:rsidRPr="00C349A9">
        <w:rPr>
          <w:i/>
          <w:u w:val="single"/>
        </w:rPr>
        <w:t>Масса тела и параметры метаболизма</w:t>
      </w:r>
    </w:p>
    <w:p w14:paraId="2F2E4C7F" w14:textId="77777777" w:rsidR="00DE0BAA" w:rsidRPr="009E6A55" w:rsidRDefault="00DE0BAA" w:rsidP="002840C4">
      <w:pPr>
        <w:spacing w:line="360" w:lineRule="auto"/>
        <w:jc w:val="both"/>
      </w:pPr>
      <w:r w:rsidRPr="009E6A55">
        <w:t xml:space="preserve">Во время антиретровирусной терапии возможно увеличение массы тела и повышение уровней липидов и глюкозы в плазме крови. Эти изменения частично могут быть обусловлены контролем заболевания и стилем жизни. Что касается липидов, в некоторых случаях повышение их уровня свидетельствует об эффективности лечения; в то время как убедительных доказательств, связывающих увеличение массы тела с какой-либо конкретной схемой лечения, нет. Контроль уровня липидов и глюкозы крови проводится в соответствии с общепринятыми протоколами лечения ВИЧ-инфекции. Расстройства липидного обмена следует контролировать принятыми в клинической практике методами. </w:t>
      </w:r>
    </w:p>
    <w:p w14:paraId="1E398386" w14:textId="77777777" w:rsidR="00561D19" w:rsidRPr="00B021D0" w:rsidRDefault="00C349A9" w:rsidP="00136B39">
      <w:pPr>
        <w:keepNext/>
        <w:spacing w:line="360" w:lineRule="auto"/>
        <w:jc w:val="both"/>
        <w:rPr>
          <w:u w:val="single"/>
        </w:rPr>
      </w:pPr>
      <w:r w:rsidRPr="00C349A9">
        <w:rPr>
          <w:i/>
          <w:iCs/>
          <w:u w:val="single"/>
        </w:rPr>
        <w:t>Митохондриальные нарушения после внутриутробного воздействия</w:t>
      </w:r>
    </w:p>
    <w:p w14:paraId="1F7767ED" w14:textId="77777777" w:rsidR="00561D19" w:rsidRPr="009E6A55" w:rsidRDefault="00DE0BAA" w:rsidP="002840C4">
      <w:pPr>
        <w:spacing w:line="360" w:lineRule="auto"/>
        <w:jc w:val="both"/>
      </w:pPr>
      <w:r w:rsidRPr="009E6A55">
        <w:t xml:space="preserve">Нуклеозидные </w:t>
      </w:r>
      <w:r w:rsidR="00561D19" w:rsidRPr="009E6A55">
        <w:t xml:space="preserve">и нуклеотидные аналоги </w:t>
      </w:r>
      <w:r w:rsidRPr="009E6A55">
        <w:t>могут в различной степени влиять на функцию</w:t>
      </w:r>
      <w:r w:rsidR="00561D19" w:rsidRPr="009E6A55">
        <w:t xml:space="preserve"> митохондрий. </w:t>
      </w:r>
      <w:r w:rsidRPr="009E6A55">
        <w:t>Особенно выраженные эффекты вызывают ставудин, диданозин и з</w:t>
      </w:r>
      <w:r w:rsidR="00307BD9" w:rsidRPr="009E6A55">
        <w:t>и</w:t>
      </w:r>
      <w:r w:rsidRPr="009E6A55">
        <w:t xml:space="preserve">довудин. Сообщалось о развитии митохондриальных нарушений у ВИЧ-негативных детей первого года жизни, подвергшихся внутриутробному и (или) постнатальному воздействию аналогов нуклеозидов, в основном при схемах лечения с применением </w:t>
      </w:r>
      <w:r w:rsidRPr="009E6A55">
        <w:lastRenderedPageBreak/>
        <w:t>зидовудина. Среди основных нежелательных реакций отмечаются</w:t>
      </w:r>
      <w:r w:rsidR="00561D19" w:rsidRPr="009E6A55">
        <w:t xml:space="preserve"> гематологические нарушения (анемия, нейтропения) и метаболические нарушения (гиперлактатемия, гиперлипаземия). Эти </w:t>
      </w:r>
      <w:r w:rsidR="00050677" w:rsidRPr="009E6A55">
        <w:t xml:space="preserve">изменения </w:t>
      </w:r>
      <w:r w:rsidR="00561D19" w:rsidRPr="009E6A55">
        <w:t xml:space="preserve">часто </w:t>
      </w:r>
      <w:r w:rsidR="00050677" w:rsidRPr="009E6A55">
        <w:t>имели преходящий</w:t>
      </w:r>
      <w:r w:rsidR="00561D19" w:rsidRPr="009E6A55">
        <w:t xml:space="preserve"> характер. </w:t>
      </w:r>
      <w:r w:rsidR="00050677" w:rsidRPr="009E6A55">
        <w:t>В редких случаях были зарегистрированы поздние</w:t>
      </w:r>
      <w:r w:rsidR="00561D19" w:rsidRPr="009E6A55">
        <w:t xml:space="preserve"> </w:t>
      </w:r>
      <w:r w:rsidR="00050677" w:rsidRPr="009E6A55">
        <w:t xml:space="preserve">неврологические </w:t>
      </w:r>
      <w:r w:rsidR="00561D19" w:rsidRPr="009E6A55">
        <w:t xml:space="preserve">нарушения (гипертония, судороги, </w:t>
      </w:r>
      <w:r w:rsidR="00050677" w:rsidRPr="009E6A55">
        <w:t>поведенческие нарушения</w:t>
      </w:r>
      <w:r w:rsidR="00561D19" w:rsidRPr="009E6A55">
        <w:t xml:space="preserve">). </w:t>
      </w:r>
      <w:r w:rsidR="00050677" w:rsidRPr="009E6A55">
        <w:t>В настоящее время</w:t>
      </w:r>
      <w:r w:rsidR="00561D19" w:rsidRPr="009E6A55">
        <w:t xml:space="preserve"> неизвестно, являются ли неврологические нарушения </w:t>
      </w:r>
      <w:r w:rsidR="00050677" w:rsidRPr="009E6A55">
        <w:t xml:space="preserve">преходящими </w:t>
      </w:r>
      <w:r w:rsidR="00561D19" w:rsidRPr="009E6A55">
        <w:t xml:space="preserve">или постоянными. </w:t>
      </w:r>
      <w:r w:rsidR="00050677" w:rsidRPr="009E6A55">
        <w:t>Возможность таких нарушений невыясненной этиологии, особенно неврологических нарушений, следует учитывать при наблюдении за детьми, подвергшим</w:t>
      </w:r>
      <w:r w:rsidR="00B15A59" w:rsidRPr="009E6A55">
        <w:t>и</w:t>
      </w:r>
      <w:r w:rsidR="00050677" w:rsidRPr="009E6A55">
        <w:t xml:space="preserve">ся </w:t>
      </w:r>
      <w:r w:rsidR="004A48AE" w:rsidRPr="009E6A55">
        <w:t xml:space="preserve">внутриутробному воздействию нуклеотидных или нуклеозидных аналогов. </w:t>
      </w:r>
      <w:r w:rsidR="00561D19" w:rsidRPr="009E6A55">
        <w:t>Имеющиеся данные не влияют на текущие национальные рекомендации, согласно которым ВИЧ-положительным беременным женщинам необходимо проведение антиретровирусной терапии с целью профилактики вертикальной передачи ВИЧ.</w:t>
      </w:r>
    </w:p>
    <w:p w14:paraId="42DAA412" w14:textId="77777777" w:rsidR="00561D19" w:rsidRPr="009E6A55" w:rsidRDefault="00561D19" w:rsidP="002840C4">
      <w:pPr>
        <w:spacing w:line="360" w:lineRule="auto"/>
        <w:jc w:val="both"/>
      </w:pPr>
      <w:r w:rsidRPr="009E6A55">
        <w:rPr>
          <w:i/>
          <w:iCs/>
        </w:rPr>
        <w:t>Синдром восстановления иммунитета</w:t>
      </w:r>
    </w:p>
    <w:p w14:paraId="58D5307D" w14:textId="77777777" w:rsidR="004E220B" w:rsidRPr="009E6A55" w:rsidRDefault="00561D19" w:rsidP="002840C4">
      <w:pPr>
        <w:spacing w:line="360" w:lineRule="auto"/>
        <w:jc w:val="both"/>
      </w:pPr>
      <w:r w:rsidRPr="009E6A55">
        <w:t xml:space="preserve">В начале антиретровирусной терапии у ВИЧ-инфицированных пациентов с тяжелым иммунодефицитом может возникнуть воспалительная реакция на возбудителей бессимптомных или остаточных оппортунистических инфекций и привести к тяжелым клиническим состояниям или усилению выраженности симптомов. Обычно такие реакции наблюдаются в течение первых недель после начала лечения. Примерами могут служить цитомегаловирусный ретинит, генерализованные и/или очаговые микобактериальные инфекции и пневмоцистная </w:t>
      </w:r>
      <w:r w:rsidRPr="009E6A55">
        <w:rPr>
          <w:i/>
          <w:iCs/>
          <w:lang w:eastAsia="en-US"/>
        </w:rPr>
        <w:t>(</w:t>
      </w:r>
      <w:r w:rsidRPr="009E6A55">
        <w:rPr>
          <w:i/>
          <w:iCs/>
          <w:lang w:val="en-US" w:eastAsia="en-US"/>
        </w:rPr>
        <w:t>Pneumocystis</w:t>
      </w:r>
      <w:r w:rsidRPr="009E6A55">
        <w:rPr>
          <w:i/>
          <w:iCs/>
          <w:lang w:eastAsia="en-US"/>
        </w:rPr>
        <w:t xml:space="preserve"> </w:t>
      </w:r>
      <w:r w:rsidR="00B923DE" w:rsidRPr="009E6A55">
        <w:rPr>
          <w:i/>
          <w:iCs/>
          <w:lang w:val="la-Latn" w:eastAsia="en-US"/>
        </w:rPr>
        <w:t>jirovecii</w:t>
      </w:r>
      <w:r w:rsidRPr="009E6A55">
        <w:rPr>
          <w:i/>
          <w:iCs/>
          <w:lang w:eastAsia="en-US"/>
        </w:rPr>
        <w:t xml:space="preserve">) </w:t>
      </w:r>
      <w:r w:rsidRPr="009E6A55">
        <w:t>пневмония. Следует отслеживать любые симптомы воспаления и, в случае необходимости, своевременно назначить лечение.</w:t>
      </w:r>
    </w:p>
    <w:p w14:paraId="05B1FF1C" w14:textId="77777777" w:rsidR="00561D19" w:rsidRPr="009E6A55" w:rsidRDefault="00561D19" w:rsidP="002840C4">
      <w:pPr>
        <w:spacing w:line="360" w:lineRule="auto"/>
        <w:jc w:val="both"/>
      </w:pPr>
      <w:r w:rsidRPr="009E6A55">
        <w:t>Также сообщалось об аутоиммунных заболеваниях (таких как болезнь Грейвса</w:t>
      </w:r>
      <w:r w:rsidR="004E220B" w:rsidRPr="009E6A55">
        <w:t xml:space="preserve"> и аутоиммунный гепатит</w:t>
      </w:r>
      <w:r w:rsidRPr="009E6A55">
        <w:t>), сопровождавших реактивацию иммунитета</w:t>
      </w:r>
      <w:r w:rsidR="009E6A55" w:rsidRPr="009E6A55">
        <w:t>,</w:t>
      </w:r>
      <w:r w:rsidRPr="009E6A55">
        <w:t xml:space="preserve"> однако данные о времени начала таких явлений сильно разнятся, и эти случаи могли иметь место спустя несколько месяцев после начала лечения.</w:t>
      </w:r>
    </w:p>
    <w:p w14:paraId="18948487" w14:textId="77777777" w:rsidR="00561D19" w:rsidRPr="009E6A55" w:rsidRDefault="00561D19" w:rsidP="002840C4">
      <w:pPr>
        <w:spacing w:line="360" w:lineRule="auto"/>
        <w:jc w:val="both"/>
      </w:pPr>
      <w:r w:rsidRPr="009E6A55">
        <w:rPr>
          <w:i/>
          <w:iCs/>
        </w:rPr>
        <w:t>Остеонекроз</w:t>
      </w:r>
    </w:p>
    <w:p w14:paraId="14AD0118" w14:textId="77777777" w:rsidR="00561D19" w:rsidRPr="009E6A55" w:rsidRDefault="00561D19" w:rsidP="002840C4">
      <w:pPr>
        <w:spacing w:line="360" w:lineRule="auto"/>
        <w:jc w:val="both"/>
      </w:pPr>
      <w:r w:rsidRPr="009E6A55">
        <w:t>Хотя этиология остеонекроза считается многофакторной (включая использование глюкокортикостероидов, употребление алкоголя, наличие тяжелой иммуносупрессии, более высокий индекс массы тела), случаи остеонекроза регистрировались особенно часто у пациентов с прогрессирующей ВИЧ-инфекцией и/или при длительном приеме комбинированной антиретровирусной терапии. Пациентам следует рекомендовать обращаться за консультацией к врачу при появлении ломоты или боли в суставах, скованности в суставах или затруднениях в движении.</w:t>
      </w:r>
    </w:p>
    <w:p w14:paraId="4C0FA539" w14:textId="77777777" w:rsidR="00561D19" w:rsidRPr="009E6A55" w:rsidRDefault="00561D19" w:rsidP="002840C4">
      <w:pPr>
        <w:spacing w:line="360" w:lineRule="auto"/>
        <w:jc w:val="both"/>
      </w:pPr>
      <w:r w:rsidRPr="009E6A55">
        <w:rPr>
          <w:i/>
          <w:iCs/>
        </w:rPr>
        <w:t>Пациенты пожилого возраста</w:t>
      </w:r>
    </w:p>
    <w:p w14:paraId="0F425BB2" w14:textId="77777777" w:rsidR="00561D19" w:rsidRPr="009E6A55" w:rsidRDefault="00561D19" w:rsidP="002840C4">
      <w:pPr>
        <w:spacing w:line="360" w:lineRule="auto"/>
        <w:jc w:val="both"/>
      </w:pPr>
      <w:r w:rsidRPr="009E6A55">
        <w:t>Тенофовир</w:t>
      </w:r>
      <w:r w:rsidR="004E220B" w:rsidRPr="009E6A55">
        <w:t>а дизопроксила фумарат</w:t>
      </w:r>
      <w:r w:rsidRPr="009E6A55">
        <w:t xml:space="preserve"> не был исследован у пациентов старше 65</w:t>
      </w:r>
      <w:r w:rsidR="009E6A55" w:rsidRPr="009E6A55">
        <w:t> </w:t>
      </w:r>
      <w:r w:rsidRPr="009E6A55">
        <w:t xml:space="preserve">лет. Пациенты старшего возраста имеют большую вероятность ухудшения функции почек, </w:t>
      </w:r>
      <w:r w:rsidRPr="009E6A55">
        <w:lastRenderedPageBreak/>
        <w:t xml:space="preserve">поэтому необходимо соблюдать осторожность при лечении </w:t>
      </w:r>
      <w:r w:rsidR="004E220B" w:rsidRPr="009E6A55">
        <w:t xml:space="preserve">тенофовира дизопроксила фумаратом </w:t>
      </w:r>
      <w:r w:rsidRPr="009E6A55">
        <w:t>пациентов пожилого возраста.</w:t>
      </w:r>
    </w:p>
    <w:p w14:paraId="7FC462EC" w14:textId="77777777" w:rsidR="00D30276" w:rsidRPr="00970683" w:rsidRDefault="006F2F0B" w:rsidP="00FC031E">
      <w:pPr>
        <w:spacing w:before="120" w:line="360" w:lineRule="auto"/>
        <w:jc w:val="both"/>
        <w:rPr>
          <w:b/>
        </w:rPr>
      </w:pPr>
      <w:r w:rsidRPr="00970683">
        <w:rPr>
          <w:b/>
        </w:rPr>
        <w:t xml:space="preserve">Влияние на способность </w:t>
      </w:r>
      <w:r w:rsidR="00561D19" w:rsidRPr="00970683">
        <w:rPr>
          <w:b/>
        </w:rPr>
        <w:t>управлять транспортными средствами,</w:t>
      </w:r>
      <w:r w:rsidR="00635FEB" w:rsidRPr="00970683">
        <w:rPr>
          <w:b/>
        </w:rPr>
        <w:t xml:space="preserve"> </w:t>
      </w:r>
      <w:r w:rsidR="000143F3" w:rsidRPr="00970683">
        <w:rPr>
          <w:b/>
        </w:rPr>
        <w:t>механизмами</w:t>
      </w:r>
    </w:p>
    <w:p w14:paraId="2C13FED5" w14:textId="77777777" w:rsidR="00561D19" w:rsidRPr="00970683" w:rsidRDefault="00561D19" w:rsidP="002840C4">
      <w:pPr>
        <w:spacing w:line="360" w:lineRule="auto"/>
        <w:jc w:val="both"/>
      </w:pPr>
      <w:r w:rsidRPr="00970683">
        <w:t>Исследования относительно влияния тенофовира</w:t>
      </w:r>
      <w:r w:rsidR="004E220B" w:rsidRPr="00970683">
        <w:t xml:space="preserve"> дизопроксила фумарат</w:t>
      </w:r>
      <w:r w:rsidRPr="00970683">
        <w:t xml:space="preserve"> на способность управлять автотранспортом и использовать механизмы не проводились. Пациентов следует проинформировать о наличии сообщений о головокружении при лечении тенофовир</w:t>
      </w:r>
      <w:r w:rsidR="004E220B" w:rsidRPr="00970683">
        <w:t>а дизопроксила фумаратом</w:t>
      </w:r>
      <w:r w:rsidRPr="00970683">
        <w:t>. При появлении головокружения следует воздержаться от выполнения указанных видов деятельности.</w:t>
      </w:r>
    </w:p>
    <w:p w14:paraId="206691A0" w14:textId="77777777" w:rsidR="003E1A21" w:rsidRPr="003E1A21" w:rsidRDefault="003E1A21" w:rsidP="003E1A21">
      <w:pPr>
        <w:spacing w:line="360" w:lineRule="auto"/>
        <w:jc w:val="both"/>
        <w:rPr>
          <w:b/>
        </w:rPr>
      </w:pPr>
      <w:r w:rsidRPr="003E1A21">
        <w:rPr>
          <w:b/>
        </w:rPr>
        <w:t>Форма выпуска</w:t>
      </w:r>
    </w:p>
    <w:p w14:paraId="19ED68EA" w14:textId="77777777" w:rsidR="003E1A21" w:rsidRPr="003E1A21" w:rsidRDefault="003E1A21" w:rsidP="003E1A21">
      <w:pPr>
        <w:spacing w:line="360" w:lineRule="auto"/>
        <w:jc w:val="both"/>
      </w:pPr>
      <w:r w:rsidRPr="003E1A21">
        <w:t>Таблетки, покрытые пленочной оболочкой, 300 мг.</w:t>
      </w:r>
    </w:p>
    <w:p w14:paraId="43DE9EEA" w14:textId="77777777" w:rsidR="003E1A21" w:rsidRPr="003E1A21" w:rsidRDefault="003E1A21" w:rsidP="003E1A21">
      <w:pPr>
        <w:spacing w:line="360" w:lineRule="auto"/>
        <w:jc w:val="both"/>
      </w:pPr>
      <w:r w:rsidRPr="003E1A21">
        <w:t xml:space="preserve">По 10 таблеток в контурную ячейковую упаковку из пленки поливинилхлоридной и фольги алюминиевой печатной лакированной. </w:t>
      </w:r>
    </w:p>
    <w:p w14:paraId="5F4EFDA4" w14:textId="77777777" w:rsidR="003E1A21" w:rsidRPr="003E1A21" w:rsidRDefault="003E1A21" w:rsidP="003E1A21">
      <w:pPr>
        <w:spacing w:line="360" w:lineRule="auto"/>
        <w:jc w:val="both"/>
      </w:pPr>
      <w:r w:rsidRPr="003E1A21">
        <w:t>По 1, 2, 3, 4, 5, 6, 12 контурных ячейковых упаковок вместе с инструкцией по применению помещают в пачку из картона.</w:t>
      </w:r>
    </w:p>
    <w:p w14:paraId="350AF9B1" w14:textId="494B0D6D" w:rsidR="00436C58" w:rsidRPr="00970683" w:rsidRDefault="00CA4458" w:rsidP="003E1A21">
      <w:pPr>
        <w:spacing w:before="120" w:line="360" w:lineRule="auto"/>
        <w:jc w:val="both"/>
        <w:rPr>
          <w:b/>
        </w:rPr>
      </w:pPr>
      <w:r w:rsidRPr="00970683">
        <w:rPr>
          <w:b/>
        </w:rPr>
        <w:t>Условия хранения</w:t>
      </w:r>
    </w:p>
    <w:p w14:paraId="0119D4D8" w14:textId="77777777" w:rsidR="002268CE" w:rsidRPr="00970683" w:rsidRDefault="00594AE2" w:rsidP="002840C4">
      <w:pPr>
        <w:spacing w:line="360" w:lineRule="auto"/>
        <w:jc w:val="both"/>
      </w:pPr>
      <w:r w:rsidRPr="00970683">
        <w:t xml:space="preserve">При температуре не выше </w:t>
      </w:r>
      <w:r w:rsidR="00486CE3" w:rsidRPr="00970683">
        <w:t xml:space="preserve">25 °C. </w:t>
      </w:r>
      <w:r w:rsidR="002268CE" w:rsidRPr="00970683">
        <w:t>Хранить в недоступном для детей месте.</w:t>
      </w:r>
    </w:p>
    <w:p w14:paraId="57071844" w14:textId="77777777" w:rsidR="00436C58" w:rsidRPr="00970683" w:rsidRDefault="00CA4458" w:rsidP="00FC031E">
      <w:pPr>
        <w:spacing w:before="120" w:line="360" w:lineRule="auto"/>
        <w:jc w:val="both"/>
        <w:rPr>
          <w:b/>
        </w:rPr>
      </w:pPr>
      <w:r w:rsidRPr="00970683">
        <w:rPr>
          <w:b/>
        </w:rPr>
        <w:t>Срок годности</w:t>
      </w:r>
    </w:p>
    <w:p w14:paraId="463AD294" w14:textId="77777777" w:rsidR="002268CE" w:rsidRPr="00970683" w:rsidRDefault="002268CE" w:rsidP="002840C4">
      <w:pPr>
        <w:spacing w:line="360" w:lineRule="auto"/>
        <w:jc w:val="both"/>
      </w:pPr>
      <w:r w:rsidRPr="00970683">
        <w:t>2 года.</w:t>
      </w:r>
      <w:r w:rsidR="00CA4458" w:rsidRPr="00970683">
        <w:t xml:space="preserve"> </w:t>
      </w:r>
      <w:r w:rsidRPr="00970683">
        <w:t>Не использовать по истечении срока годности.</w:t>
      </w:r>
    </w:p>
    <w:p w14:paraId="59AD4FF4" w14:textId="77777777" w:rsidR="00436C58" w:rsidRPr="00970683" w:rsidRDefault="00CA4458" w:rsidP="00FC031E">
      <w:pPr>
        <w:spacing w:before="120" w:line="360" w:lineRule="auto"/>
        <w:jc w:val="both"/>
        <w:rPr>
          <w:b/>
        </w:rPr>
      </w:pPr>
      <w:r w:rsidRPr="00970683">
        <w:rPr>
          <w:b/>
        </w:rPr>
        <w:t>Условия отпуска</w:t>
      </w:r>
    </w:p>
    <w:p w14:paraId="68E13BD3" w14:textId="77777777" w:rsidR="002268CE" w:rsidRPr="00970683" w:rsidRDefault="00561D19" w:rsidP="002840C4">
      <w:pPr>
        <w:spacing w:line="360" w:lineRule="auto"/>
        <w:jc w:val="both"/>
      </w:pPr>
      <w:r w:rsidRPr="00970683">
        <w:t>Отпускают п</w:t>
      </w:r>
      <w:r w:rsidR="00CA4458" w:rsidRPr="00970683">
        <w:t>о рецепту.</w:t>
      </w:r>
    </w:p>
    <w:p w14:paraId="444E958F" w14:textId="473F4C0E" w:rsidR="006D7DB9" w:rsidRDefault="00CA4458" w:rsidP="00FC031E">
      <w:pPr>
        <w:keepNext/>
        <w:spacing w:before="120" w:line="360" w:lineRule="auto"/>
        <w:jc w:val="both"/>
        <w:rPr>
          <w:b/>
        </w:rPr>
      </w:pPr>
      <w:r w:rsidRPr="00970683">
        <w:rPr>
          <w:b/>
        </w:rPr>
        <w:t>Производител</w:t>
      </w:r>
      <w:r w:rsidR="00E70C25">
        <w:rPr>
          <w:b/>
        </w:rPr>
        <w:t>ь</w:t>
      </w:r>
    </w:p>
    <w:p w14:paraId="1C8EEC74" w14:textId="77777777" w:rsidR="00E70C25" w:rsidRPr="00E70C25" w:rsidRDefault="00E70C25" w:rsidP="00E70C25">
      <w:pPr>
        <w:spacing w:line="360" w:lineRule="auto"/>
        <w:rPr>
          <w:rFonts w:eastAsia="Calibri"/>
        </w:rPr>
      </w:pPr>
      <w:r w:rsidRPr="00E70C25">
        <w:rPr>
          <w:rFonts w:eastAsia="Calibri"/>
        </w:rPr>
        <w:t xml:space="preserve">АО «Усолье-Сибирский химфармзавод» </w:t>
      </w:r>
    </w:p>
    <w:p w14:paraId="3211E9D2" w14:textId="77777777" w:rsidR="00E70C25" w:rsidRPr="00E70C25" w:rsidRDefault="00E70C25" w:rsidP="00E70C25">
      <w:pPr>
        <w:spacing w:line="360" w:lineRule="auto"/>
        <w:rPr>
          <w:rFonts w:eastAsia="Calibri"/>
        </w:rPr>
      </w:pPr>
      <w:r w:rsidRPr="00E70C25">
        <w:rPr>
          <w:rFonts w:eastAsia="Calibri"/>
        </w:rPr>
        <w:t xml:space="preserve">Россия, </w:t>
      </w:r>
    </w:p>
    <w:p w14:paraId="62559B36" w14:textId="28994BC8" w:rsidR="00E70C25" w:rsidRPr="00E70C25" w:rsidRDefault="00E70C25" w:rsidP="00E70C25">
      <w:pPr>
        <w:spacing w:line="360" w:lineRule="auto"/>
        <w:rPr>
          <w:rFonts w:eastAsia="Calibri"/>
          <w:b/>
        </w:rPr>
      </w:pPr>
      <w:r w:rsidRPr="00E70C25">
        <w:rPr>
          <w:rFonts w:eastAsia="Calibri"/>
        </w:rPr>
        <w:t xml:space="preserve">665462, Иркутская область, г.Усолье-Сибирское, северо-западная часть города, с северо-восточной стороны, в 115 м от Прибайкальской автодороги. </w:t>
      </w:r>
    </w:p>
    <w:p w14:paraId="3DAB736D" w14:textId="77777777" w:rsidR="003E1A21" w:rsidRPr="003E1A21" w:rsidRDefault="003E1A21" w:rsidP="003E1A21">
      <w:pPr>
        <w:spacing w:line="360" w:lineRule="auto"/>
        <w:jc w:val="both"/>
        <w:rPr>
          <w:b/>
        </w:rPr>
      </w:pPr>
      <w:r w:rsidRPr="003E1A21">
        <w:rPr>
          <w:b/>
        </w:rPr>
        <w:t>Держатель РУ, Организация, принимающая претензии от потребителя</w:t>
      </w:r>
    </w:p>
    <w:p w14:paraId="7577FBC1" w14:textId="77777777" w:rsidR="003E1A21" w:rsidRPr="003E1A21" w:rsidRDefault="003E1A21" w:rsidP="003E1A21">
      <w:pPr>
        <w:spacing w:line="360" w:lineRule="auto"/>
        <w:jc w:val="both"/>
      </w:pPr>
      <w:r w:rsidRPr="003E1A21">
        <w:t xml:space="preserve">АО «Усолье-Сибирский химфармзавод», </w:t>
      </w:r>
    </w:p>
    <w:p w14:paraId="17020F2E" w14:textId="77777777" w:rsidR="003E1A21" w:rsidRPr="003E1A21" w:rsidRDefault="003E1A21" w:rsidP="003E1A21">
      <w:pPr>
        <w:spacing w:line="360" w:lineRule="auto"/>
        <w:jc w:val="both"/>
      </w:pPr>
      <w:r w:rsidRPr="003E1A21">
        <w:t xml:space="preserve">Россия, 665462, Иркутская область, г. Усолье-Сибирское, северо-западная часть города, с северо-восточной стороны, в 115 м от Прибайкальской автодороги.  </w:t>
      </w:r>
    </w:p>
    <w:p w14:paraId="37696C9F" w14:textId="450D1920" w:rsidR="003F5691" w:rsidRPr="003E1A21" w:rsidRDefault="003E1A21" w:rsidP="003E1A21">
      <w:pPr>
        <w:spacing w:line="360" w:lineRule="auto"/>
        <w:jc w:val="both"/>
        <w:rPr>
          <w:bCs/>
        </w:rPr>
      </w:pPr>
      <w:r w:rsidRPr="003E1A21">
        <w:t>тел./факс: +7 (39543) 58910, +7 (39543) 58908</w:t>
      </w:r>
    </w:p>
    <w:p w14:paraId="6278EFAC" w14:textId="77777777" w:rsidR="00557ED3" w:rsidRPr="00970683" w:rsidRDefault="00557ED3" w:rsidP="002840C4">
      <w:pPr>
        <w:spacing w:line="360" w:lineRule="auto"/>
        <w:jc w:val="both"/>
      </w:pPr>
    </w:p>
    <w:sectPr w:rsidR="00557ED3" w:rsidRPr="00970683" w:rsidSect="00091B06">
      <w:head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22C88" w14:textId="77777777" w:rsidR="00FB2A2D" w:rsidRDefault="00FB2A2D">
      <w:r>
        <w:separator/>
      </w:r>
    </w:p>
  </w:endnote>
  <w:endnote w:type="continuationSeparator" w:id="0">
    <w:p w14:paraId="2119B1B8" w14:textId="77777777" w:rsidR="00FB2A2D" w:rsidRDefault="00FB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FA92" w14:textId="211A0B00" w:rsidR="00613C0A" w:rsidRPr="00644669" w:rsidRDefault="00A71691" w:rsidP="00F2223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E1A21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3FDD" w14:textId="77777777" w:rsidR="00FB2A2D" w:rsidRDefault="00FB2A2D">
      <w:r>
        <w:separator/>
      </w:r>
    </w:p>
  </w:footnote>
  <w:footnote w:type="continuationSeparator" w:id="0">
    <w:p w14:paraId="5F1A5090" w14:textId="77777777" w:rsidR="00FB2A2D" w:rsidRDefault="00FB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9DBEF" w14:textId="77777777" w:rsidR="00613C0A" w:rsidRDefault="00613C0A" w:rsidP="007470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F73E50" w14:textId="77777777" w:rsidR="00613C0A" w:rsidRDefault="00613C0A" w:rsidP="00091B0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CA1"/>
    <w:multiLevelType w:val="hybridMultilevel"/>
    <w:tmpl w:val="264822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E1435F"/>
    <w:multiLevelType w:val="hybridMultilevel"/>
    <w:tmpl w:val="CAB41184"/>
    <w:lvl w:ilvl="0" w:tplc="486A5B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C4265"/>
    <w:multiLevelType w:val="hybridMultilevel"/>
    <w:tmpl w:val="C90EA18E"/>
    <w:lvl w:ilvl="0" w:tplc="FD3C74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F10AE"/>
    <w:multiLevelType w:val="hybridMultilevel"/>
    <w:tmpl w:val="119C1540"/>
    <w:lvl w:ilvl="0" w:tplc="120815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F283B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7D5991"/>
    <w:multiLevelType w:val="hybridMultilevel"/>
    <w:tmpl w:val="A1945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5018B"/>
    <w:multiLevelType w:val="hybridMultilevel"/>
    <w:tmpl w:val="AFDE633A"/>
    <w:lvl w:ilvl="0" w:tplc="FD3C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B22D7"/>
    <w:multiLevelType w:val="singleLevel"/>
    <w:tmpl w:val="87A096BE"/>
    <w:lvl w:ilvl="0">
      <w:numFmt w:val="bullet"/>
      <w:lvlText w:val="•"/>
      <w:lvlJc w:val="left"/>
    </w:lvl>
  </w:abstractNum>
  <w:abstractNum w:abstractNumId="8" w15:restartNumberingAfterBreak="0">
    <w:nsid w:val="3A2E4086"/>
    <w:multiLevelType w:val="hybridMultilevel"/>
    <w:tmpl w:val="2146F312"/>
    <w:lvl w:ilvl="0" w:tplc="FD3C74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D6174"/>
    <w:multiLevelType w:val="hybridMultilevel"/>
    <w:tmpl w:val="2146F312"/>
    <w:lvl w:ilvl="0" w:tplc="FD3C74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1773"/>
    <w:multiLevelType w:val="hybridMultilevel"/>
    <w:tmpl w:val="7BD649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801C29"/>
    <w:multiLevelType w:val="hybridMultilevel"/>
    <w:tmpl w:val="03EEFE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8123F5"/>
    <w:multiLevelType w:val="singleLevel"/>
    <w:tmpl w:val="42F634CC"/>
    <w:lvl w:ilvl="0">
      <w:numFmt w:val="bullet"/>
      <w:lvlText w:val="•"/>
      <w:lvlJc w:val="left"/>
    </w:lvl>
  </w:abstractNum>
  <w:abstractNum w:abstractNumId="13" w15:restartNumberingAfterBreak="0">
    <w:nsid w:val="4D5C1313"/>
    <w:multiLevelType w:val="hybridMultilevel"/>
    <w:tmpl w:val="C79C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742C"/>
    <w:multiLevelType w:val="hybridMultilevel"/>
    <w:tmpl w:val="03F4E5D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202F7E"/>
    <w:multiLevelType w:val="hybridMultilevel"/>
    <w:tmpl w:val="80A26E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9B671F"/>
    <w:multiLevelType w:val="hybridMultilevel"/>
    <w:tmpl w:val="C18A3B9E"/>
    <w:lvl w:ilvl="0" w:tplc="041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7" w15:restartNumberingAfterBreak="0">
    <w:nsid w:val="62843C9B"/>
    <w:multiLevelType w:val="hybridMultilevel"/>
    <w:tmpl w:val="83EC76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C41481D"/>
    <w:multiLevelType w:val="hybridMultilevel"/>
    <w:tmpl w:val="8104E580"/>
    <w:lvl w:ilvl="0" w:tplc="FD3C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81492"/>
    <w:multiLevelType w:val="singleLevel"/>
    <w:tmpl w:val="AC328A74"/>
    <w:lvl w:ilvl="0">
      <w:numFmt w:val="bullet"/>
      <w:lvlText w:val="-"/>
      <w:lvlJc w:val="left"/>
    </w:lvl>
  </w:abstractNum>
  <w:abstractNum w:abstractNumId="20" w15:restartNumberingAfterBreak="0">
    <w:nsid w:val="6E2832BD"/>
    <w:multiLevelType w:val="hybridMultilevel"/>
    <w:tmpl w:val="6838B8F2"/>
    <w:lvl w:ilvl="0" w:tplc="FD3C74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21902"/>
    <w:multiLevelType w:val="hybridMultilevel"/>
    <w:tmpl w:val="35043B9C"/>
    <w:lvl w:ilvl="0" w:tplc="120815EA">
      <w:start w:val="1"/>
      <w:numFmt w:val="bullet"/>
      <w:lvlText w:val=""/>
      <w:lvlJc w:val="left"/>
      <w:pPr>
        <w:ind w:left="1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20"/>
  </w:num>
  <w:num w:numId="6">
    <w:abstractNumId w:val="14"/>
  </w:num>
  <w:num w:numId="7">
    <w:abstractNumId w:val="5"/>
  </w:num>
  <w:num w:numId="8">
    <w:abstractNumId w:val="6"/>
  </w:num>
  <w:num w:numId="9">
    <w:abstractNumId w:val="18"/>
  </w:num>
  <w:num w:numId="10">
    <w:abstractNumId w:val="17"/>
  </w:num>
  <w:num w:numId="11">
    <w:abstractNumId w:val="10"/>
  </w:num>
  <w:num w:numId="12">
    <w:abstractNumId w:val="0"/>
  </w:num>
  <w:num w:numId="13">
    <w:abstractNumId w:val="13"/>
  </w:num>
  <w:num w:numId="14">
    <w:abstractNumId w:val="12"/>
  </w:num>
  <w:num w:numId="15">
    <w:abstractNumId w:val="7"/>
  </w:num>
  <w:num w:numId="16">
    <w:abstractNumId w:val="4"/>
  </w:num>
  <w:num w:numId="17">
    <w:abstractNumId w:val="19"/>
  </w:num>
  <w:num w:numId="18">
    <w:abstractNumId w:val="21"/>
  </w:num>
  <w:num w:numId="19">
    <w:abstractNumId w:val="11"/>
  </w:num>
  <w:num w:numId="20">
    <w:abstractNumId w:val="16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CE"/>
    <w:rsid w:val="00000763"/>
    <w:rsid w:val="00003D7B"/>
    <w:rsid w:val="00004564"/>
    <w:rsid w:val="00012E51"/>
    <w:rsid w:val="000143F3"/>
    <w:rsid w:val="00015D6C"/>
    <w:rsid w:val="0001778D"/>
    <w:rsid w:val="000207B9"/>
    <w:rsid w:val="00025CF2"/>
    <w:rsid w:val="0002674E"/>
    <w:rsid w:val="00026DD5"/>
    <w:rsid w:val="000316BA"/>
    <w:rsid w:val="000411BE"/>
    <w:rsid w:val="0004635F"/>
    <w:rsid w:val="00050677"/>
    <w:rsid w:val="00052F3B"/>
    <w:rsid w:val="0005701F"/>
    <w:rsid w:val="00057435"/>
    <w:rsid w:val="00060397"/>
    <w:rsid w:val="00062EFF"/>
    <w:rsid w:val="000660E5"/>
    <w:rsid w:val="00067569"/>
    <w:rsid w:val="000706A6"/>
    <w:rsid w:val="00073006"/>
    <w:rsid w:val="000774B8"/>
    <w:rsid w:val="00091B06"/>
    <w:rsid w:val="000952F2"/>
    <w:rsid w:val="00097BDB"/>
    <w:rsid w:val="000A11D1"/>
    <w:rsid w:val="000A2F50"/>
    <w:rsid w:val="000A6448"/>
    <w:rsid w:val="000A661A"/>
    <w:rsid w:val="000B17E1"/>
    <w:rsid w:val="000B36AC"/>
    <w:rsid w:val="000C1993"/>
    <w:rsid w:val="000C2994"/>
    <w:rsid w:val="000C4B3C"/>
    <w:rsid w:val="000D141D"/>
    <w:rsid w:val="000D1C00"/>
    <w:rsid w:val="000D7255"/>
    <w:rsid w:val="000E4FEA"/>
    <w:rsid w:val="000F14D7"/>
    <w:rsid w:val="000F1E0A"/>
    <w:rsid w:val="000F2CC1"/>
    <w:rsid w:val="000F4102"/>
    <w:rsid w:val="00105FBF"/>
    <w:rsid w:val="00106D00"/>
    <w:rsid w:val="001100D0"/>
    <w:rsid w:val="00113D9A"/>
    <w:rsid w:val="00114987"/>
    <w:rsid w:val="00116D1A"/>
    <w:rsid w:val="0013235B"/>
    <w:rsid w:val="00136B39"/>
    <w:rsid w:val="00142425"/>
    <w:rsid w:val="001475D3"/>
    <w:rsid w:val="00150BA8"/>
    <w:rsid w:val="0016792F"/>
    <w:rsid w:val="00170EF3"/>
    <w:rsid w:val="00173953"/>
    <w:rsid w:val="00181FD7"/>
    <w:rsid w:val="00182F37"/>
    <w:rsid w:val="001A1657"/>
    <w:rsid w:val="001A491C"/>
    <w:rsid w:val="001A55FB"/>
    <w:rsid w:val="001B3463"/>
    <w:rsid w:val="001B3B03"/>
    <w:rsid w:val="001B7EB1"/>
    <w:rsid w:val="001B7F48"/>
    <w:rsid w:val="001C167A"/>
    <w:rsid w:val="001C5BEC"/>
    <w:rsid w:val="001C7F3F"/>
    <w:rsid w:val="001E32D5"/>
    <w:rsid w:val="001E50AA"/>
    <w:rsid w:val="001E595C"/>
    <w:rsid w:val="001E71E9"/>
    <w:rsid w:val="001F0226"/>
    <w:rsid w:val="001F1CB5"/>
    <w:rsid w:val="001F49AE"/>
    <w:rsid w:val="001F4E2D"/>
    <w:rsid w:val="001F5C36"/>
    <w:rsid w:val="0020450A"/>
    <w:rsid w:val="002061A4"/>
    <w:rsid w:val="00210C5B"/>
    <w:rsid w:val="00210F2A"/>
    <w:rsid w:val="00214D8D"/>
    <w:rsid w:val="002168AE"/>
    <w:rsid w:val="00217897"/>
    <w:rsid w:val="002205BC"/>
    <w:rsid w:val="002268CE"/>
    <w:rsid w:val="00227076"/>
    <w:rsid w:val="00227BDD"/>
    <w:rsid w:val="00230148"/>
    <w:rsid w:val="0023503E"/>
    <w:rsid w:val="00235BEB"/>
    <w:rsid w:val="00236AD4"/>
    <w:rsid w:val="00240174"/>
    <w:rsid w:val="00250A51"/>
    <w:rsid w:val="00253E82"/>
    <w:rsid w:val="00262B69"/>
    <w:rsid w:val="00267C1C"/>
    <w:rsid w:val="00267F03"/>
    <w:rsid w:val="002723AD"/>
    <w:rsid w:val="002727FD"/>
    <w:rsid w:val="00276BEE"/>
    <w:rsid w:val="00280A8D"/>
    <w:rsid w:val="002840C4"/>
    <w:rsid w:val="00284117"/>
    <w:rsid w:val="00285471"/>
    <w:rsid w:val="0028671B"/>
    <w:rsid w:val="00287A1E"/>
    <w:rsid w:val="00291BEF"/>
    <w:rsid w:val="00292FE7"/>
    <w:rsid w:val="00294E01"/>
    <w:rsid w:val="002A06B2"/>
    <w:rsid w:val="002A15B3"/>
    <w:rsid w:val="002B5A2E"/>
    <w:rsid w:val="002C01BB"/>
    <w:rsid w:val="002C47F5"/>
    <w:rsid w:val="002C5D4D"/>
    <w:rsid w:val="002C7272"/>
    <w:rsid w:val="002D1F49"/>
    <w:rsid w:val="002D2CAF"/>
    <w:rsid w:val="002E163A"/>
    <w:rsid w:val="002F1943"/>
    <w:rsid w:val="00301D08"/>
    <w:rsid w:val="0030553D"/>
    <w:rsid w:val="00307950"/>
    <w:rsid w:val="00307BD9"/>
    <w:rsid w:val="00315AAF"/>
    <w:rsid w:val="00322512"/>
    <w:rsid w:val="00322DD8"/>
    <w:rsid w:val="00331370"/>
    <w:rsid w:val="003320A5"/>
    <w:rsid w:val="00333113"/>
    <w:rsid w:val="0034026F"/>
    <w:rsid w:val="00356B5C"/>
    <w:rsid w:val="003641AA"/>
    <w:rsid w:val="00364824"/>
    <w:rsid w:val="00365F61"/>
    <w:rsid w:val="0037350F"/>
    <w:rsid w:val="003845CD"/>
    <w:rsid w:val="00385810"/>
    <w:rsid w:val="00385C6C"/>
    <w:rsid w:val="00387D5B"/>
    <w:rsid w:val="003A0590"/>
    <w:rsid w:val="003A061B"/>
    <w:rsid w:val="003A1FB6"/>
    <w:rsid w:val="003A5106"/>
    <w:rsid w:val="003A5777"/>
    <w:rsid w:val="003B2718"/>
    <w:rsid w:val="003B4F6A"/>
    <w:rsid w:val="003B7882"/>
    <w:rsid w:val="003D0571"/>
    <w:rsid w:val="003D6B88"/>
    <w:rsid w:val="003D726E"/>
    <w:rsid w:val="003E1A21"/>
    <w:rsid w:val="003E5A48"/>
    <w:rsid w:val="003F5691"/>
    <w:rsid w:val="003F64F5"/>
    <w:rsid w:val="00404079"/>
    <w:rsid w:val="004042D2"/>
    <w:rsid w:val="004046BC"/>
    <w:rsid w:val="004054EA"/>
    <w:rsid w:val="00407A00"/>
    <w:rsid w:val="00415DA9"/>
    <w:rsid w:val="00416048"/>
    <w:rsid w:val="00427C71"/>
    <w:rsid w:val="00430988"/>
    <w:rsid w:val="00433C04"/>
    <w:rsid w:val="0043592D"/>
    <w:rsid w:val="00436C58"/>
    <w:rsid w:val="00441313"/>
    <w:rsid w:val="004428E2"/>
    <w:rsid w:val="00442A49"/>
    <w:rsid w:val="00444199"/>
    <w:rsid w:val="004441E6"/>
    <w:rsid w:val="00451F4B"/>
    <w:rsid w:val="0046375E"/>
    <w:rsid w:val="004657D0"/>
    <w:rsid w:val="00466386"/>
    <w:rsid w:val="00471C1E"/>
    <w:rsid w:val="00472C07"/>
    <w:rsid w:val="00476396"/>
    <w:rsid w:val="0048395C"/>
    <w:rsid w:val="00485D43"/>
    <w:rsid w:val="00486CE3"/>
    <w:rsid w:val="00491C36"/>
    <w:rsid w:val="0049318F"/>
    <w:rsid w:val="00494825"/>
    <w:rsid w:val="004958D6"/>
    <w:rsid w:val="004978EA"/>
    <w:rsid w:val="004A48AE"/>
    <w:rsid w:val="004B1CB5"/>
    <w:rsid w:val="004B2F24"/>
    <w:rsid w:val="004C501A"/>
    <w:rsid w:val="004C7FC4"/>
    <w:rsid w:val="004D3500"/>
    <w:rsid w:val="004D411B"/>
    <w:rsid w:val="004E220B"/>
    <w:rsid w:val="004E2D95"/>
    <w:rsid w:val="004F032A"/>
    <w:rsid w:val="004F0644"/>
    <w:rsid w:val="004F1FEB"/>
    <w:rsid w:val="004F7A09"/>
    <w:rsid w:val="00501096"/>
    <w:rsid w:val="00501BC4"/>
    <w:rsid w:val="00503622"/>
    <w:rsid w:val="005036C9"/>
    <w:rsid w:val="005063AB"/>
    <w:rsid w:val="00511083"/>
    <w:rsid w:val="00515F2C"/>
    <w:rsid w:val="00516A83"/>
    <w:rsid w:val="00517DB3"/>
    <w:rsid w:val="005236B2"/>
    <w:rsid w:val="00527520"/>
    <w:rsid w:val="0053156A"/>
    <w:rsid w:val="00531671"/>
    <w:rsid w:val="005359D6"/>
    <w:rsid w:val="00537828"/>
    <w:rsid w:val="00545693"/>
    <w:rsid w:val="00545F85"/>
    <w:rsid w:val="00556592"/>
    <w:rsid w:val="00557ED3"/>
    <w:rsid w:val="00561081"/>
    <w:rsid w:val="00561D19"/>
    <w:rsid w:val="00563139"/>
    <w:rsid w:val="005642E5"/>
    <w:rsid w:val="005714D8"/>
    <w:rsid w:val="0057754A"/>
    <w:rsid w:val="00577769"/>
    <w:rsid w:val="00577D9A"/>
    <w:rsid w:val="00580300"/>
    <w:rsid w:val="0059270A"/>
    <w:rsid w:val="00594AE2"/>
    <w:rsid w:val="005954EC"/>
    <w:rsid w:val="005975F3"/>
    <w:rsid w:val="005A0DCC"/>
    <w:rsid w:val="005A3CDE"/>
    <w:rsid w:val="005A4EA6"/>
    <w:rsid w:val="005A57A6"/>
    <w:rsid w:val="005B2FED"/>
    <w:rsid w:val="005B6D88"/>
    <w:rsid w:val="005B7797"/>
    <w:rsid w:val="005C42C2"/>
    <w:rsid w:val="005C4F0B"/>
    <w:rsid w:val="005D12D9"/>
    <w:rsid w:val="005D21AB"/>
    <w:rsid w:val="005D3C41"/>
    <w:rsid w:val="005D599D"/>
    <w:rsid w:val="005E5DA3"/>
    <w:rsid w:val="005F650E"/>
    <w:rsid w:val="00600B2C"/>
    <w:rsid w:val="006025AF"/>
    <w:rsid w:val="00602BF2"/>
    <w:rsid w:val="006038F2"/>
    <w:rsid w:val="00610C7D"/>
    <w:rsid w:val="00611D62"/>
    <w:rsid w:val="00613C0A"/>
    <w:rsid w:val="00615166"/>
    <w:rsid w:val="00616E39"/>
    <w:rsid w:val="006204D2"/>
    <w:rsid w:val="00622117"/>
    <w:rsid w:val="00626140"/>
    <w:rsid w:val="0063374B"/>
    <w:rsid w:val="00634185"/>
    <w:rsid w:val="00635D31"/>
    <w:rsid w:val="00635FEB"/>
    <w:rsid w:val="00643204"/>
    <w:rsid w:val="00643586"/>
    <w:rsid w:val="00644669"/>
    <w:rsid w:val="006546B5"/>
    <w:rsid w:val="006565EF"/>
    <w:rsid w:val="00663371"/>
    <w:rsid w:val="00670D69"/>
    <w:rsid w:val="006713D6"/>
    <w:rsid w:val="006760FC"/>
    <w:rsid w:val="00686088"/>
    <w:rsid w:val="006879CF"/>
    <w:rsid w:val="00694612"/>
    <w:rsid w:val="00695F99"/>
    <w:rsid w:val="006A1C52"/>
    <w:rsid w:val="006A3C1F"/>
    <w:rsid w:val="006B026D"/>
    <w:rsid w:val="006B06B6"/>
    <w:rsid w:val="006B0EFD"/>
    <w:rsid w:val="006B3026"/>
    <w:rsid w:val="006B4FF9"/>
    <w:rsid w:val="006B5F66"/>
    <w:rsid w:val="006B77F0"/>
    <w:rsid w:val="006B7AF1"/>
    <w:rsid w:val="006B7CD7"/>
    <w:rsid w:val="006C07B0"/>
    <w:rsid w:val="006C1F4A"/>
    <w:rsid w:val="006C6BFE"/>
    <w:rsid w:val="006D32A8"/>
    <w:rsid w:val="006D3CA5"/>
    <w:rsid w:val="006D4285"/>
    <w:rsid w:val="006D7B41"/>
    <w:rsid w:val="006D7DB9"/>
    <w:rsid w:val="006F2429"/>
    <w:rsid w:val="006F275E"/>
    <w:rsid w:val="006F2F0B"/>
    <w:rsid w:val="006F6ED6"/>
    <w:rsid w:val="006F7E97"/>
    <w:rsid w:val="00702AD0"/>
    <w:rsid w:val="00704504"/>
    <w:rsid w:val="0070469D"/>
    <w:rsid w:val="00704804"/>
    <w:rsid w:val="007107A3"/>
    <w:rsid w:val="00713B6A"/>
    <w:rsid w:val="00715A59"/>
    <w:rsid w:val="00716324"/>
    <w:rsid w:val="00716648"/>
    <w:rsid w:val="00734214"/>
    <w:rsid w:val="007469A4"/>
    <w:rsid w:val="00746B0E"/>
    <w:rsid w:val="00747033"/>
    <w:rsid w:val="00750F3E"/>
    <w:rsid w:val="0075120C"/>
    <w:rsid w:val="00751BAD"/>
    <w:rsid w:val="00752369"/>
    <w:rsid w:val="007537B1"/>
    <w:rsid w:val="00762765"/>
    <w:rsid w:val="00762874"/>
    <w:rsid w:val="00774544"/>
    <w:rsid w:val="00774564"/>
    <w:rsid w:val="00776465"/>
    <w:rsid w:val="007809B2"/>
    <w:rsid w:val="00781FC3"/>
    <w:rsid w:val="00783985"/>
    <w:rsid w:val="00784668"/>
    <w:rsid w:val="00792DBD"/>
    <w:rsid w:val="00793601"/>
    <w:rsid w:val="00794000"/>
    <w:rsid w:val="00794B05"/>
    <w:rsid w:val="0079551C"/>
    <w:rsid w:val="007977E1"/>
    <w:rsid w:val="007A38FD"/>
    <w:rsid w:val="007B07EB"/>
    <w:rsid w:val="007B19CA"/>
    <w:rsid w:val="007B2B22"/>
    <w:rsid w:val="007B79D2"/>
    <w:rsid w:val="007C0949"/>
    <w:rsid w:val="007D0605"/>
    <w:rsid w:val="007D1DBB"/>
    <w:rsid w:val="007D619C"/>
    <w:rsid w:val="007D6FD1"/>
    <w:rsid w:val="007E0F39"/>
    <w:rsid w:val="007E1E96"/>
    <w:rsid w:val="007E3803"/>
    <w:rsid w:val="007E471F"/>
    <w:rsid w:val="007E5278"/>
    <w:rsid w:val="007E54B1"/>
    <w:rsid w:val="007E7054"/>
    <w:rsid w:val="007F1148"/>
    <w:rsid w:val="007F3470"/>
    <w:rsid w:val="007F422D"/>
    <w:rsid w:val="007F739C"/>
    <w:rsid w:val="008004B8"/>
    <w:rsid w:val="00800C93"/>
    <w:rsid w:val="008116B0"/>
    <w:rsid w:val="008131F5"/>
    <w:rsid w:val="00813EAE"/>
    <w:rsid w:val="008156C5"/>
    <w:rsid w:val="0082132E"/>
    <w:rsid w:val="00822741"/>
    <w:rsid w:val="008248D6"/>
    <w:rsid w:val="00824F27"/>
    <w:rsid w:val="0082708D"/>
    <w:rsid w:val="008330C4"/>
    <w:rsid w:val="008444C8"/>
    <w:rsid w:val="00854609"/>
    <w:rsid w:val="008563F5"/>
    <w:rsid w:val="00856856"/>
    <w:rsid w:val="00857150"/>
    <w:rsid w:val="00861B0E"/>
    <w:rsid w:val="00872478"/>
    <w:rsid w:val="00885278"/>
    <w:rsid w:val="00887DAD"/>
    <w:rsid w:val="00894598"/>
    <w:rsid w:val="008978B6"/>
    <w:rsid w:val="008A1472"/>
    <w:rsid w:val="008A14DF"/>
    <w:rsid w:val="008A2107"/>
    <w:rsid w:val="008A7521"/>
    <w:rsid w:val="008B32D3"/>
    <w:rsid w:val="008B47D7"/>
    <w:rsid w:val="008B4F55"/>
    <w:rsid w:val="008B4FB3"/>
    <w:rsid w:val="008B7855"/>
    <w:rsid w:val="008C0E50"/>
    <w:rsid w:val="008C27B8"/>
    <w:rsid w:val="008C3AA5"/>
    <w:rsid w:val="008D3B30"/>
    <w:rsid w:val="008D6134"/>
    <w:rsid w:val="008D7DBA"/>
    <w:rsid w:val="008F0380"/>
    <w:rsid w:val="008F2091"/>
    <w:rsid w:val="008F4FDC"/>
    <w:rsid w:val="008F5D0F"/>
    <w:rsid w:val="008F68D4"/>
    <w:rsid w:val="008F6EFF"/>
    <w:rsid w:val="008F7299"/>
    <w:rsid w:val="008F7852"/>
    <w:rsid w:val="00905B37"/>
    <w:rsid w:val="009102C0"/>
    <w:rsid w:val="00910870"/>
    <w:rsid w:val="00913732"/>
    <w:rsid w:val="009205C3"/>
    <w:rsid w:val="009212C0"/>
    <w:rsid w:val="00932381"/>
    <w:rsid w:val="00933781"/>
    <w:rsid w:val="00942FCA"/>
    <w:rsid w:val="009435EB"/>
    <w:rsid w:val="00944306"/>
    <w:rsid w:val="009500F2"/>
    <w:rsid w:val="00950752"/>
    <w:rsid w:val="0095171C"/>
    <w:rsid w:val="00952801"/>
    <w:rsid w:val="00957197"/>
    <w:rsid w:val="00960EEC"/>
    <w:rsid w:val="00970683"/>
    <w:rsid w:val="0097226B"/>
    <w:rsid w:val="0097391A"/>
    <w:rsid w:val="009743E4"/>
    <w:rsid w:val="009824C7"/>
    <w:rsid w:val="00983575"/>
    <w:rsid w:val="00990EDB"/>
    <w:rsid w:val="00992105"/>
    <w:rsid w:val="00992289"/>
    <w:rsid w:val="00992B69"/>
    <w:rsid w:val="00993EB2"/>
    <w:rsid w:val="009953B8"/>
    <w:rsid w:val="009A7BB6"/>
    <w:rsid w:val="009B0FBA"/>
    <w:rsid w:val="009C14EC"/>
    <w:rsid w:val="009C56A3"/>
    <w:rsid w:val="009C7C21"/>
    <w:rsid w:val="009D355F"/>
    <w:rsid w:val="009E46E7"/>
    <w:rsid w:val="009E551D"/>
    <w:rsid w:val="009E5C16"/>
    <w:rsid w:val="009E6A55"/>
    <w:rsid w:val="009F0B7A"/>
    <w:rsid w:val="009F4A72"/>
    <w:rsid w:val="009F5C29"/>
    <w:rsid w:val="00A0047C"/>
    <w:rsid w:val="00A042FC"/>
    <w:rsid w:val="00A07B92"/>
    <w:rsid w:val="00A1165F"/>
    <w:rsid w:val="00A13246"/>
    <w:rsid w:val="00A13E4F"/>
    <w:rsid w:val="00A147C4"/>
    <w:rsid w:val="00A20341"/>
    <w:rsid w:val="00A21CAA"/>
    <w:rsid w:val="00A24818"/>
    <w:rsid w:val="00A27A51"/>
    <w:rsid w:val="00A329DA"/>
    <w:rsid w:val="00A32A96"/>
    <w:rsid w:val="00A33805"/>
    <w:rsid w:val="00A33B41"/>
    <w:rsid w:val="00A33C53"/>
    <w:rsid w:val="00A35C64"/>
    <w:rsid w:val="00A37DA2"/>
    <w:rsid w:val="00A42333"/>
    <w:rsid w:val="00A4320F"/>
    <w:rsid w:val="00A553BD"/>
    <w:rsid w:val="00A56ADC"/>
    <w:rsid w:val="00A5726A"/>
    <w:rsid w:val="00A60A4B"/>
    <w:rsid w:val="00A610D6"/>
    <w:rsid w:val="00A63EC7"/>
    <w:rsid w:val="00A65495"/>
    <w:rsid w:val="00A70B64"/>
    <w:rsid w:val="00A71691"/>
    <w:rsid w:val="00A75B2F"/>
    <w:rsid w:val="00A77E51"/>
    <w:rsid w:val="00A8446B"/>
    <w:rsid w:val="00A84AE0"/>
    <w:rsid w:val="00A87C6A"/>
    <w:rsid w:val="00A932A0"/>
    <w:rsid w:val="00A95767"/>
    <w:rsid w:val="00AA12F3"/>
    <w:rsid w:val="00AA3807"/>
    <w:rsid w:val="00AA3F53"/>
    <w:rsid w:val="00AA74C9"/>
    <w:rsid w:val="00AB099D"/>
    <w:rsid w:val="00AB5066"/>
    <w:rsid w:val="00AC09B4"/>
    <w:rsid w:val="00AC2F4E"/>
    <w:rsid w:val="00AD2FFE"/>
    <w:rsid w:val="00AD4383"/>
    <w:rsid w:val="00AD71BE"/>
    <w:rsid w:val="00AF6229"/>
    <w:rsid w:val="00B013B2"/>
    <w:rsid w:val="00B021D0"/>
    <w:rsid w:val="00B04D56"/>
    <w:rsid w:val="00B1227D"/>
    <w:rsid w:val="00B13495"/>
    <w:rsid w:val="00B15A59"/>
    <w:rsid w:val="00B208CD"/>
    <w:rsid w:val="00B22CA4"/>
    <w:rsid w:val="00B24CE8"/>
    <w:rsid w:val="00B26CE1"/>
    <w:rsid w:val="00B377B5"/>
    <w:rsid w:val="00B40D16"/>
    <w:rsid w:val="00B517E8"/>
    <w:rsid w:val="00B60509"/>
    <w:rsid w:val="00B618D8"/>
    <w:rsid w:val="00B61CED"/>
    <w:rsid w:val="00B65A44"/>
    <w:rsid w:val="00B678AF"/>
    <w:rsid w:val="00B67A8E"/>
    <w:rsid w:val="00B760E1"/>
    <w:rsid w:val="00B768CF"/>
    <w:rsid w:val="00B80CBD"/>
    <w:rsid w:val="00B82494"/>
    <w:rsid w:val="00B83D4B"/>
    <w:rsid w:val="00B868F7"/>
    <w:rsid w:val="00B916CB"/>
    <w:rsid w:val="00B917D3"/>
    <w:rsid w:val="00B923DE"/>
    <w:rsid w:val="00B97408"/>
    <w:rsid w:val="00BA077C"/>
    <w:rsid w:val="00BA1BEF"/>
    <w:rsid w:val="00BA3DDF"/>
    <w:rsid w:val="00BB0ACF"/>
    <w:rsid w:val="00BB0B71"/>
    <w:rsid w:val="00BB1603"/>
    <w:rsid w:val="00BB2B5B"/>
    <w:rsid w:val="00BB7373"/>
    <w:rsid w:val="00BC5023"/>
    <w:rsid w:val="00BD0ABE"/>
    <w:rsid w:val="00BD20A5"/>
    <w:rsid w:val="00BE2122"/>
    <w:rsid w:val="00BE3062"/>
    <w:rsid w:val="00BE4285"/>
    <w:rsid w:val="00BE4DBB"/>
    <w:rsid w:val="00BE5959"/>
    <w:rsid w:val="00BF014E"/>
    <w:rsid w:val="00BF0521"/>
    <w:rsid w:val="00BF180C"/>
    <w:rsid w:val="00BF2AE1"/>
    <w:rsid w:val="00C0078D"/>
    <w:rsid w:val="00C00CAA"/>
    <w:rsid w:val="00C01533"/>
    <w:rsid w:val="00C05E20"/>
    <w:rsid w:val="00C05F85"/>
    <w:rsid w:val="00C11290"/>
    <w:rsid w:val="00C12425"/>
    <w:rsid w:val="00C13880"/>
    <w:rsid w:val="00C17F5C"/>
    <w:rsid w:val="00C213B3"/>
    <w:rsid w:val="00C22630"/>
    <w:rsid w:val="00C233BB"/>
    <w:rsid w:val="00C26318"/>
    <w:rsid w:val="00C30376"/>
    <w:rsid w:val="00C32F2A"/>
    <w:rsid w:val="00C349A9"/>
    <w:rsid w:val="00C35BB4"/>
    <w:rsid w:val="00C4063E"/>
    <w:rsid w:val="00C46DA8"/>
    <w:rsid w:val="00C478CE"/>
    <w:rsid w:val="00C508D3"/>
    <w:rsid w:val="00C534F4"/>
    <w:rsid w:val="00C54F1F"/>
    <w:rsid w:val="00C61B18"/>
    <w:rsid w:val="00C63BC6"/>
    <w:rsid w:val="00C70D59"/>
    <w:rsid w:val="00C7280D"/>
    <w:rsid w:val="00C72AE2"/>
    <w:rsid w:val="00C73512"/>
    <w:rsid w:val="00C75C61"/>
    <w:rsid w:val="00C81191"/>
    <w:rsid w:val="00C81B2E"/>
    <w:rsid w:val="00C95535"/>
    <w:rsid w:val="00CA16EF"/>
    <w:rsid w:val="00CA1702"/>
    <w:rsid w:val="00CA1EC1"/>
    <w:rsid w:val="00CA4458"/>
    <w:rsid w:val="00CA563B"/>
    <w:rsid w:val="00CB00EA"/>
    <w:rsid w:val="00CB2639"/>
    <w:rsid w:val="00CB3BA8"/>
    <w:rsid w:val="00CB67A2"/>
    <w:rsid w:val="00CB7C07"/>
    <w:rsid w:val="00CC5EC6"/>
    <w:rsid w:val="00CC6674"/>
    <w:rsid w:val="00CD073B"/>
    <w:rsid w:val="00CD6A0B"/>
    <w:rsid w:val="00CE06B9"/>
    <w:rsid w:val="00CE5CEA"/>
    <w:rsid w:val="00CF28D8"/>
    <w:rsid w:val="00D00DD2"/>
    <w:rsid w:val="00D01F9B"/>
    <w:rsid w:val="00D04F05"/>
    <w:rsid w:val="00D065C6"/>
    <w:rsid w:val="00D10FEB"/>
    <w:rsid w:val="00D11C8B"/>
    <w:rsid w:val="00D12F30"/>
    <w:rsid w:val="00D30276"/>
    <w:rsid w:val="00D34BA1"/>
    <w:rsid w:val="00D41E2C"/>
    <w:rsid w:val="00D42490"/>
    <w:rsid w:val="00D42A12"/>
    <w:rsid w:val="00D43628"/>
    <w:rsid w:val="00D43AFF"/>
    <w:rsid w:val="00D5067B"/>
    <w:rsid w:val="00D512CD"/>
    <w:rsid w:val="00D62747"/>
    <w:rsid w:val="00D70E03"/>
    <w:rsid w:val="00D81AB0"/>
    <w:rsid w:val="00D83661"/>
    <w:rsid w:val="00D96A0C"/>
    <w:rsid w:val="00DA0120"/>
    <w:rsid w:val="00DB0C6B"/>
    <w:rsid w:val="00DB0CBD"/>
    <w:rsid w:val="00DB307D"/>
    <w:rsid w:val="00DB4779"/>
    <w:rsid w:val="00DB4892"/>
    <w:rsid w:val="00DB4E6C"/>
    <w:rsid w:val="00DC7DAE"/>
    <w:rsid w:val="00DD0A49"/>
    <w:rsid w:val="00DD4743"/>
    <w:rsid w:val="00DD6B58"/>
    <w:rsid w:val="00DE0BAA"/>
    <w:rsid w:val="00DE198E"/>
    <w:rsid w:val="00DE3636"/>
    <w:rsid w:val="00DE378E"/>
    <w:rsid w:val="00DF6DD5"/>
    <w:rsid w:val="00E00A1C"/>
    <w:rsid w:val="00E016DD"/>
    <w:rsid w:val="00E03BEF"/>
    <w:rsid w:val="00E10F8B"/>
    <w:rsid w:val="00E127D6"/>
    <w:rsid w:val="00E13213"/>
    <w:rsid w:val="00E16B01"/>
    <w:rsid w:val="00E22898"/>
    <w:rsid w:val="00E23325"/>
    <w:rsid w:val="00E23B8A"/>
    <w:rsid w:val="00E30320"/>
    <w:rsid w:val="00E31031"/>
    <w:rsid w:val="00E42707"/>
    <w:rsid w:val="00E43686"/>
    <w:rsid w:val="00E50B71"/>
    <w:rsid w:val="00E50CC5"/>
    <w:rsid w:val="00E52149"/>
    <w:rsid w:val="00E65A80"/>
    <w:rsid w:val="00E66776"/>
    <w:rsid w:val="00E70C25"/>
    <w:rsid w:val="00E73E90"/>
    <w:rsid w:val="00E85C78"/>
    <w:rsid w:val="00E9188E"/>
    <w:rsid w:val="00EA0622"/>
    <w:rsid w:val="00EA118A"/>
    <w:rsid w:val="00EA272A"/>
    <w:rsid w:val="00EB18F0"/>
    <w:rsid w:val="00EB19A3"/>
    <w:rsid w:val="00EB23B8"/>
    <w:rsid w:val="00EB4AB7"/>
    <w:rsid w:val="00EB5C85"/>
    <w:rsid w:val="00EC05A7"/>
    <w:rsid w:val="00EC3F84"/>
    <w:rsid w:val="00EC64FD"/>
    <w:rsid w:val="00ED3458"/>
    <w:rsid w:val="00EE35D4"/>
    <w:rsid w:val="00EE4728"/>
    <w:rsid w:val="00EE4D7A"/>
    <w:rsid w:val="00EE6766"/>
    <w:rsid w:val="00EF044D"/>
    <w:rsid w:val="00F0228B"/>
    <w:rsid w:val="00F036E3"/>
    <w:rsid w:val="00F03B45"/>
    <w:rsid w:val="00F16BB3"/>
    <w:rsid w:val="00F2223B"/>
    <w:rsid w:val="00F228D2"/>
    <w:rsid w:val="00F26215"/>
    <w:rsid w:val="00F26F1C"/>
    <w:rsid w:val="00F26FFF"/>
    <w:rsid w:val="00F30F2B"/>
    <w:rsid w:val="00F31D68"/>
    <w:rsid w:val="00F3465A"/>
    <w:rsid w:val="00F34B03"/>
    <w:rsid w:val="00F40717"/>
    <w:rsid w:val="00F448BF"/>
    <w:rsid w:val="00F45220"/>
    <w:rsid w:val="00F600AB"/>
    <w:rsid w:val="00F60886"/>
    <w:rsid w:val="00F60999"/>
    <w:rsid w:val="00F63E3E"/>
    <w:rsid w:val="00F65752"/>
    <w:rsid w:val="00F708A3"/>
    <w:rsid w:val="00F71FAD"/>
    <w:rsid w:val="00F767E0"/>
    <w:rsid w:val="00F801A0"/>
    <w:rsid w:val="00F81623"/>
    <w:rsid w:val="00F85380"/>
    <w:rsid w:val="00F85F82"/>
    <w:rsid w:val="00F90660"/>
    <w:rsid w:val="00F97834"/>
    <w:rsid w:val="00FA3BC5"/>
    <w:rsid w:val="00FA6BDB"/>
    <w:rsid w:val="00FB2A2D"/>
    <w:rsid w:val="00FB3752"/>
    <w:rsid w:val="00FB3EED"/>
    <w:rsid w:val="00FC031E"/>
    <w:rsid w:val="00FC2B1E"/>
    <w:rsid w:val="00FC7C4D"/>
    <w:rsid w:val="00FD0E48"/>
    <w:rsid w:val="00FD1A78"/>
    <w:rsid w:val="00FD4531"/>
    <w:rsid w:val="00FE702E"/>
    <w:rsid w:val="00FF25A7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A536C"/>
  <w15:docId w15:val="{663A52CD-AE1E-4EBB-B9D4-AC44510F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5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91B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91B06"/>
  </w:style>
  <w:style w:type="paragraph" w:styleId="a6">
    <w:name w:val="footer"/>
    <w:basedOn w:val="a"/>
    <w:link w:val="a7"/>
    <w:uiPriority w:val="99"/>
    <w:rsid w:val="00091B06"/>
    <w:pPr>
      <w:tabs>
        <w:tab w:val="center" w:pos="4677"/>
        <w:tab w:val="right" w:pos="9355"/>
      </w:tabs>
    </w:pPr>
  </w:style>
  <w:style w:type="paragraph" w:customStyle="1" w:styleId="a8">
    <w:name w:val="Îáû÷íûé"/>
    <w:rsid w:val="002268CE"/>
    <w:pPr>
      <w:widowControl w:val="0"/>
      <w:autoSpaceDE w:val="0"/>
      <w:autoSpaceDN w:val="0"/>
      <w:adjustRightInd w:val="0"/>
    </w:pPr>
  </w:style>
  <w:style w:type="character" w:styleId="a9">
    <w:name w:val="Emphasis"/>
    <w:uiPriority w:val="20"/>
    <w:qFormat/>
    <w:rsid w:val="002C5D4D"/>
    <w:rPr>
      <w:i/>
      <w:iCs/>
    </w:rPr>
  </w:style>
  <w:style w:type="paragraph" w:styleId="aa">
    <w:name w:val="Balloon Text"/>
    <w:basedOn w:val="a"/>
    <w:link w:val="ab"/>
    <w:rsid w:val="002045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0450A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E5DA3"/>
    <w:rPr>
      <w:sz w:val="24"/>
      <w:szCs w:val="24"/>
    </w:rPr>
  </w:style>
  <w:style w:type="paragraph" w:customStyle="1" w:styleId="5CharChar">
    <w:name w:val="Знак Знак5 Char Char"/>
    <w:basedOn w:val="a"/>
    <w:rsid w:val="00486CE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annotation reference"/>
    <w:basedOn w:val="a0"/>
    <w:rsid w:val="002723AD"/>
    <w:rPr>
      <w:sz w:val="16"/>
      <w:szCs w:val="16"/>
    </w:rPr>
  </w:style>
  <w:style w:type="paragraph" w:styleId="ad">
    <w:name w:val="annotation text"/>
    <w:basedOn w:val="a"/>
    <w:link w:val="ae"/>
    <w:rsid w:val="002723A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723AD"/>
  </w:style>
  <w:style w:type="paragraph" w:styleId="af">
    <w:name w:val="annotation subject"/>
    <w:basedOn w:val="ad"/>
    <w:next w:val="ad"/>
    <w:link w:val="af0"/>
    <w:rsid w:val="002723AD"/>
    <w:rPr>
      <w:b/>
      <w:bCs/>
    </w:rPr>
  </w:style>
  <w:style w:type="character" w:customStyle="1" w:styleId="af0">
    <w:name w:val="Тема примечания Знак"/>
    <w:basedOn w:val="ae"/>
    <w:link w:val="af"/>
    <w:rsid w:val="002723AD"/>
    <w:rPr>
      <w:b/>
      <w:bCs/>
    </w:rPr>
  </w:style>
  <w:style w:type="character" w:styleId="af1">
    <w:name w:val="Hyperlink"/>
    <w:basedOn w:val="a0"/>
    <w:rsid w:val="00236AD4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0E4FEA"/>
    <w:pPr>
      <w:ind w:left="720"/>
      <w:contextualSpacing/>
    </w:pPr>
  </w:style>
  <w:style w:type="paragraph" w:customStyle="1" w:styleId="Style174">
    <w:name w:val="Style174"/>
    <w:basedOn w:val="a"/>
    <w:rsid w:val="00E03BEF"/>
    <w:rPr>
      <w:sz w:val="20"/>
      <w:szCs w:val="20"/>
    </w:rPr>
  </w:style>
  <w:style w:type="paragraph" w:customStyle="1" w:styleId="Style18">
    <w:name w:val="Style18"/>
    <w:basedOn w:val="a"/>
    <w:rsid w:val="00E03BEF"/>
    <w:pPr>
      <w:spacing w:line="403" w:lineRule="exact"/>
      <w:jc w:val="both"/>
    </w:pPr>
    <w:rPr>
      <w:sz w:val="20"/>
      <w:szCs w:val="20"/>
    </w:rPr>
  </w:style>
  <w:style w:type="paragraph" w:customStyle="1" w:styleId="Style170">
    <w:name w:val="Style170"/>
    <w:basedOn w:val="a"/>
    <w:rsid w:val="00E03BEF"/>
    <w:rPr>
      <w:sz w:val="20"/>
      <w:szCs w:val="20"/>
    </w:rPr>
  </w:style>
  <w:style w:type="paragraph" w:customStyle="1" w:styleId="Style140">
    <w:name w:val="Style140"/>
    <w:basedOn w:val="a"/>
    <w:rsid w:val="00E03BEF"/>
    <w:rPr>
      <w:sz w:val="20"/>
      <w:szCs w:val="20"/>
    </w:rPr>
  </w:style>
  <w:style w:type="paragraph" w:customStyle="1" w:styleId="Style467">
    <w:name w:val="Style467"/>
    <w:basedOn w:val="a"/>
    <w:rsid w:val="00E03BEF"/>
    <w:pPr>
      <w:spacing w:line="338" w:lineRule="exact"/>
      <w:ind w:firstLine="65"/>
      <w:jc w:val="both"/>
    </w:pPr>
    <w:rPr>
      <w:sz w:val="20"/>
      <w:szCs w:val="20"/>
    </w:rPr>
  </w:style>
  <w:style w:type="paragraph" w:customStyle="1" w:styleId="Style468">
    <w:name w:val="Style468"/>
    <w:basedOn w:val="a"/>
    <w:rsid w:val="00E03BEF"/>
    <w:pPr>
      <w:spacing w:line="340" w:lineRule="exact"/>
      <w:jc w:val="both"/>
    </w:pPr>
    <w:rPr>
      <w:sz w:val="20"/>
      <w:szCs w:val="20"/>
    </w:rPr>
  </w:style>
  <w:style w:type="character" w:customStyle="1" w:styleId="CharStyle7">
    <w:name w:val="CharStyle7"/>
    <w:basedOn w:val="a0"/>
    <w:rsid w:val="00E03BEF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9">
    <w:name w:val="CharStyle9"/>
    <w:basedOn w:val="a0"/>
    <w:rsid w:val="00E03BE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4">
    <w:name w:val="CharStyle14"/>
    <w:basedOn w:val="a0"/>
    <w:rsid w:val="00E03BEF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75">
    <w:name w:val="CharStyle275"/>
    <w:basedOn w:val="a0"/>
    <w:rsid w:val="00E03BE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customStyle="1" w:styleId="Style177">
    <w:name w:val="Style177"/>
    <w:basedOn w:val="a"/>
    <w:rsid w:val="00556592"/>
    <w:rPr>
      <w:sz w:val="20"/>
      <w:szCs w:val="20"/>
    </w:rPr>
  </w:style>
  <w:style w:type="paragraph" w:customStyle="1" w:styleId="Style511">
    <w:name w:val="Style511"/>
    <w:basedOn w:val="a"/>
    <w:rsid w:val="00556592"/>
    <w:pPr>
      <w:spacing w:line="446" w:lineRule="exact"/>
    </w:pPr>
    <w:rPr>
      <w:sz w:val="20"/>
      <w:szCs w:val="20"/>
    </w:rPr>
  </w:style>
  <w:style w:type="paragraph" w:customStyle="1" w:styleId="Style509">
    <w:name w:val="Style509"/>
    <w:basedOn w:val="a"/>
    <w:rsid w:val="00556592"/>
    <w:pPr>
      <w:spacing w:line="259" w:lineRule="exact"/>
      <w:jc w:val="center"/>
    </w:pPr>
    <w:rPr>
      <w:sz w:val="20"/>
      <w:szCs w:val="20"/>
    </w:rPr>
  </w:style>
  <w:style w:type="character" w:customStyle="1" w:styleId="CharStyle198">
    <w:name w:val="CharStyle198"/>
    <w:basedOn w:val="a0"/>
    <w:rsid w:val="00556592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72">
    <w:name w:val="CharStyle272"/>
    <w:basedOn w:val="a0"/>
    <w:rsid w:val="00556592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BD9"/>
    <w:rPr>
      <w:color w:val="605E5C"/>
      <w:shd w:val="clear" w:color="auto" w:fill="E1DFDD"/>
    </w:rPr>
  </w:style>
  <w:style w:type="paragraph" w:customStyle="1" w:styleId="af3">
    <w:name w:val="Таблицы (моноширинный)"/>
    <w:basedOn w:val="a"/>
    <w:rsid w:val="00E70C25"/>
    <w:pPr>
      <w:suppressAutoHyphens/>
      <w:spacing w:line="100" w:lineRule="atLeast"/>
      <w:jc w:val="both"/>
    </w:pPr>
    <w:rPr>
      <w:rFonts w:ascii="Courier New" w:hAnsi="Courier New" w:cs="Courier New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6B0A8-940A-4D46-9EBF-CEFAC0A9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38</Pages>
  <Words>11396</Words>
  <Characters>64958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оформлению Изменения к нормативной документации по разделу «Маркировка»</vt:lpstr>
    </vt:vector>
  </TitlesOfParts>
  <Company>Microsoft</Company>
  <LinksUpToDate>false</LinksUpToDate>
  <CharactersWithSpaces>76202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оформлению Изменения к нормативной документации по разделу «Маркировка»</dc:title>
  <dc:creator>RozhnovaSA</dc:creator>
  <cp:lastModifiedBy>rumyantseva</cp:lastModifiedBy>
  <cp:revision>4</cp:revision>
  <cp:lastPrinted>2017-01-23T11:50:00Z</cp:lastPrinted>
  <dcterms:created xsi:type="dcterms:W3CDTF">2023-04-26T05:56:00Z</dcterms:created>
  <dcterms:modified xsi:type="dcterms:W3CDTF">2024-08-29T05:26:00Z</dcterms:modified>
</cp:coreProperties>
</file>