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4A3" w:rsidRDefault="00D80438">
      <w:pPr>
        <w:jc w:val="center"/>
        <w:rPr>
          <w:b/>
          <w:sz w:val="28"/>
          <w:szCs w:val="28"/>
        </w:rPr>
      </w:pPr>
      <w:r>
        <w:rPr>
          <w:sz w:val="28"/>
          <w:szCs w:val="28"/>
        </w:rPr>
        <w:t xml:space="preserve">МИНИСТЕРСТВО ЗДРАВООХРАНЕНИЯ </w:t>
      </w:r>
    </w:p>
    <w:p w:rsidR="009D04A3" w:rsidRDefault="00D80438">
      <w:pPr>
        <w:jc w:val="center"/>
        <w:rPr>
          <w:b/>
          <w:sz w:val="28"/>
          <w:szCs w:val="28"/>
        </w:rPr>
      </w:pPr>
      <w:r>
        <w:rPr>
          <w:sz w:val="28"/>
          <w:szCs w:val="28"/>
        </w:rPr>
        <w:t>РОССИЙСКОЙ ФЕДЕРАЦИИ</w:t>
      </w:r>
    </w:p>
    <w:p w:rsidR="009D04A3" w:rsidRDefault="009D04A3">
      <w:pPr>
        <w:jc w:val="center"/>
        <w:rPr>
          <w:sz w:val="28"/>
        </w:rPr>
      </w:pPr>
    </w:p>
    <w:p w:rsidR="009D04A3" w:rsidRDefault="009D04A3">
      <w:pPr>
        <w:jc w:val="center"/>
        <w:rPr>
          <w:sz w:val="28"/>
        </w:rPr>
      </w:pPr>
    </w:p>
    <w:p w:rsidR="009D04A3" w:rsidRDefault="009D04A3">
      <w:pPr>
        <w:jc w:val="center"/>
        <w:rPr>
          <w:sz w:val="28"/>
        </w:rPr>
      </w:pPr>
    </w:p>
    <w:p w:rsidR="009D04A3" w:rsidRDefault="00D80438">
      <w:pPr>
        <w:jc w:val="center"/>
        <w:rPr>
          <w:sz w:val="28"/>
        </w:rPr>
      </w:pPr>
      <w:r>
        <w:rPr>
          <w:b/>
          <w:sz w:val="28"/>
        </w:rPr>
        <w:t>ИНСТРУКЦИЯ</w:t>
      </w:r>
      <w:r>
        <w:rPr>
          <w:sz w:val="28"/>
        </w:rPr>
        <w:t xml:space="preserve"> </w:t>
      </w:r>
    </w:p>
    <w:p w:rsidR="009D04A3" w:rsidRDefault="00D80438">
      <w:pPr>
        <w:jc w:val="center"/>
        <w:rPr>
          <w:sz w:val="28"/>
        </w:rPr>
      </w:pPr>
      <w:r>
        <w:rPr>
          <w:sz w:val="28"/>
        </w:rPr>
        <w:t>по применению лекарственного препарата для медицинского применения</w:t>
      </w:r>
    </w:p>
    <w:p w:rsidR="009D04A3" w:rsidRDefault="009D04A3">
      <w:pPr>
        <w:jc w:val="center"/>
        <w:rPr>
          <w:sz w:val="28"/>
        </w:rPr>
      </w:pPr>
    </w:p>
    <w:p w:rsidR="009D04A3" w:rsidRDefault="00D80438">
      <w:pPr>
        <w:jc w:val="center"/>
        <w:rPr>
          <w:sz w:val="28"/>
        </w:rPr>
      </w:pPr>
      <w:r>
        <w:rPr>
          <w:b/>
          <w:sz w:val="28"/>
        </w:rPr>
        <w:t>АНДИПАЛ</w:t>
      </w:r>
    </w:p>
    <w:p w:rsidR="009D04A3" w:rsidRDefault="009D04A3">
      <w:pPr>
        <w:jc w:val="both"/>
      </w:pPr>
    </w:p>
    <w:p w:rsidR="009D04A3" w:rsidRDefault="00D80438">
      <w:pPr>
        <w:spacing w:line="360" w:lineRule="auto"/>
        <w:jc w:val="both"/>
      </w:pPr>
      <w:r>
        <w:rPr>
          <w:b/>
        </w:rPr>
        <w:t xml:space="preserve">Регистрационный номер: </w:t>
      </w:r>
      <w:r>
        <w:t>ЛП-003892</w:t>
      </w:r>
    </w:p>
    <w:p w:rsidR="009D04A3" w:rsidRDefault="00D80438">
      <w:pPr>
        <w:spacing w:line="360" w:lineRule="auto"/>
        <w:jc w:val="both"/>
      </w:pPr>
      <w:r>
        <w:rPr>
          <w:b/>
        </w:rPr>
        <w:t>Торговое название:</w:t>
      </w:r>
      <w:r>
        <w:t xml:space="preserve"> Андипал </w:t>
      </w:r>
    </w:p>
    <w:p w:rsidR="009D04A3" w:rsidRDefault="00D80438">
      <w:pPr>
        <w:spacing w:line="360" w:lineRule="auto"/>
        <w:jc w:val="both"/>
      </w:pPr>
      <w:r>
        <w:rPr>
          <w:b/>
        </w:rPr>
        <w:t>Группировочное название:</w:t>
      </w:r>
      <w:r>
        <w:t xml:space="preserve"> [Бендазол+Метамизол натрия+Папаверин+Фенобарбитал]</w:t>
      </w:r>
    </w:p>
    <w:p w:rsidR="009D04A3" w:rsidRDefault="00D80438">
      <w:pPr>
        <w:spacing w:line="360" w:lineRule="auto"/>
        <w:jc w:val="both"/>
      </w:pPr>
      <w:r>
        <w:rPr>
          <w:b/>
        </w:rPr>
        <w:t>Лекарственная форма:</w:t>
      </w:r>
      <w:r>
        <w:t xml:space="preserve"> таблетки</w:t>
      </w:r>
    </w:p>
    <w:p w:rsidR="009D04A3" w:rsidRDefault="00D80438">
      <w:pPr>
        <w:spacing w:line="360" w:lineRule="auto"/>
        <w:jc w:val="both"/>
      </w:pPr>
      <w:r>
        <w:rPr>
          <w:b/>
        </w:rPr>
        <w:t>Состав на одну таблетку:</w:t>
      </w:r>
    </w:p>
    <w:p w:rsidR="009D04A3" w:rsidRDefault="00D80438">
      <w:pPr>
        <w:spacing w:line="360" w:lineRule="auto"/>
        <w:jc w:val="both"/>
        <w:rPr>
          <w:u w:val="single"/>
        </w:rPr>
      </w:pPr>
      <w:r>
        <w:rPr>
          <w:u w:val="single"/>
        </w:rPr>
        <w:t>Действующие вещества:</w:t>
      </w:r>
    </w:p>
    <w:p w:rsidR="009D04A3" w:rsidRDefault="00D80438">
      <w:pPr>
        <w:spacing w:line="360" w:lineRule="auto"/>
        <w:jc w:val="both"/>
      </w:pPr>
      <w:r>
        <w:t>Метамизол натрия – 250,0 мг</w:t>
      </w:r>
    </w:p>
    <w:p w:rsidR="009D04A3" w:rsidRDefault="00D80438">
      <w:pPr>
        <w:spacing w:line="360" w:lineRule="auto"/>
        <w:jc w:val="both"/>
      </w:pPr>
      <w:r>
        <w:t>Фенобарбитал – 20,0 мг</w:t>
      </w:r>
    </w:p>
    <w:p w:rsidR="009D04A3" w:rsidRDefault="00D80438">
      <w:pPr>
        <w:spacing w:line="360" w:lineRule="auto"/>
        <w:jc w:val="both"/>
      </w:pPr>
      <w:r>
        <w:t>Бендазол (дибазол) – 20,0 мг</w:t>
      </w:r>
    </w:p>
    <w:p w:rsidR="009D04A3" w:rsidRDefault="00D80438">
      <w:pPr>
        <w:spacing w:line="360" w:lineRule="auto"/>
        <w:jc w:val="both"/>
      </w:pPr>
      <w:r>
        <w:t>Папаверина гидрохлорид – 20,0 мг</w:t>
      </w:r>
    </w:p>
    <w:p w:rsidR="009D04A3" w:rsidRDefault="00D80438">
      <w:pPr>
        <w:spacing w:line="360" w:lineRule="auto"/>
        <w:jc w:val="both"/>
        <w:rPr>
          <w:u w:val="single"/>
        </w:rPr>
      </w:pPr>
      <w:r>
        <w:rPr>
          <w:u w:val="single"/>
        </w:rPr>
        <w:t>Вспомогательные вещества:</w:t>
      </w:r>
    </w:p>
    <w:p w:rsidR="009D04A3" w:rsidRDefault="00D80438">
      <w:pPr>
        <w:spacing w:line="360" w:lineRule="auto"/>
        <w:jc w:val="both"/>
      </w:pPr>
      <w:r>
        <w:t>Крахмал картофельный – 47,0 мг</w:t>
      </w:r>
    </w:p>
    <w:p w:rsidR="009D04A3" w:rsidRDefault="00D80438">
      <w:pPr>
        <w:spacing w:line="360" w:lineRule="auto"/>
        <w:jc w:val="both"/>
      </w:pPr>
      <w:r>
        <w:t>Тальк – 10,0 мг</w:t>
      </w:r>
    </w:p>
    <w:p w:rsidR="009D04A3" w:rsidRDefault="00D80438">
      <w:pPr>
        <w:spacing w:line="360" w:lineRule="auto"/>
        <w:jc w:val="both"/>
      </w:pPr>
      <w:r>
        <w:t>Кальция стеарат – 3,0 мг</w:t>
      </w:r>
    </w:p>
    <w:p w:rsidR="009D04A3" w:rsidRDefault="00D80438">
      <w:pPr>
        <w:spacing w:line="360" w:lineRule="auto"/>
        <w:jc w:val="both"/>
      </w:pPr>
      <w:r>
        <w:rPr>
          <w:b/>
        </w:rPr>
        <w:t>Описание:</w:t>
      </w:r>
      <w:r>
        <w:t xml:space="preserve"> плоскоцилиндрические круглые таблетки белого или белого со слегка желтоватым оттенком цвета, с фаской и риской.</w:t>
      </w:r>
    </w:p>
    <w:p w:rsidR="009D04A3" w:rsidRDefault="00D80438">
      <w:pPr>
        <w:spacing w:line="360" w:lineRule="auto"/>
        <w:jc w:val="both"/>
      </w:pPr>
      <w:r>
        <w:rPr>
          <w:b/>
        </w:rPr>
        <w:t>Фармакотерапевтическая группа:</w:t>
      </w:r>
      <w:r>
        <w:t xml:space="preserve"> анальгезирующее комбинированное средство (анальгезирующее ненаркотическое средство+спазмолитическое средство+барбитурат).</w:t>
      </w:r>
    </w:p>
    <w:p w:rsidR="009D04A3" w:rsidRDefault="00D80438">
      <w:pPr>
        <w:spacing w:after="160" w:line="360" w:lineRule="auto"/>
      </w:pPr>
      <w:r>
        <w:rPr>
          <w:b/>
        </w:rPr>
        <w:t>Код АТХ:</w:t>
      </w:r>
      <w:r>
        <w:t xml:space="preserve"> [N02BB72]</w:t>
      </w:r>
    </w:p>
    <w:p w:rsidR="009D04A3" w:rsidRDefault="00D80438">
      <w:pPr>
        <w:spacing w:line="360" w:lineRule="auto"/>
        <w:jc w:val="both"/>
        <w:rPr>
          <w:b/>
        </w:rPr>
      </w:pPr>
      <w:r>
        <w:rPr>
          <w:b/>
        </w:rPr>
        <w:t>Фармакологические свойства</w:t>
      </w:r>
    </w:p>
    <w:p w:rsidR="009D04A3" w:rsidRDefault="00D80438">
      <w:pPr>
        <w:spacing w:line="360" w:lineRule="auto"/>
        <w:jc w:val="both"/>
        <w:rPr>
          <w:i/>
        </w:rPr>
      </w:pPr>
      <w:r>
        <w:rPr>
          <w:i/>
        </w:rPr>
        <w:t>Фармакодинамика</w:t>
      </w:r>
    </w:p>
    <w:p w:rsidR="009D04A3" w:rsidRDefault="00D80438">
      <w:pPr>
        <w:spacing w:line="360" w:lineRule="auto"/>
        <w:jc w:val="both"/>
      </w:pPr>
      <w:r>
        <w:t>Комбинированный препарат, оказывает вазодилатирующее, анальгезирующее, спазмолитическое и седативное действие.</w:t>
      </w:r>
    </w:p>
    <w:p w:rsidR="009D04A3" w:rsidRDefault="00D80438">
      <w:pPr>
        <w:spacing w:line="360" w:lineRule="auto"/>
        <w:jc w:val="both"/>
      </w:pPr>
      <w:r>
        <w:t>Андипал, как спазмолитическое средство, используют при спазмах периферических сосудов и сосудов головного мозга.</w:t>
      </w:r>
    </w:p>
    <w:p w:rsidR="009D04A3" w:rsidRDefault="00D80438">
      <w:pPr>
        <w:spacing w:line="360" w:lineRule="auto"/>
        <w:jc w:val="both"/>
      </w:pPr>
      <w:r>
        <w:t>Уменьшая общее периферическое сопротивление, действуя на артериолы, препарат снижает артериальное давление, улучшает коллатеральное кровообращение.</w:t>
      </w:r>
    </w:p>
    <w:p w:rsidR="009D04A3" w:rsidRDefault="00D80438">
      <w:pPr>
        <w:spacing w:line="360" w:lineRule="auto"/>
        <w:jc w:val="both"/>
      </w:pPr>
      <w:r>
        <w:lastRenderedPageBreak/>
        <w:t>Комбинация спазмолитиков миотропного типа (бендазол и папаверин) с метамизолом натрия усиливает обезболивающее действие последнего при головной боли, мигрени.</w:t>
      </w:r>
    </w:p>
    <w:p w:rsidR="009D04A3" w:rsidRDefault="00D80438">
      <w:pPr>
        <w:spacing w:line="360" w:lineRule="auto"/>
        <w:jc w:val="both"/>
      </w:pPr>
      <w:r>
        <w:t>Наличие в препарате фенобарбитала способствует проявлению седативного эффекта и усилению действия других компонентов.</w:t>
      </w:r>
    </w:p>
    <w:p w:rsidR="009D04A3" w:rsidRDefault="00D80438">
      <w:pPr>
        <w:spacing w:line="360" w:lineRule="auto"/>
        <w:jc w:val="both"/>
        <w:rPr>
          <w:i/>
        </w:rPr>
      </w:pPr>
      <w:r>
        <w:rPr>
          <w:i/>
        </w:rPr>
        <w:t>Фармакокинетика</w:t>
      </w:r>
    </w:p>
    <w:p w:rsidR="009D04A3" w:rsidRDefault="00D80438">
      <w:pPr>
        <w:spacing w:line="360" w:lineRule="auto"/>
        <w:jc w:val="both"/>
      </w:pPr>
      <w:r>
        <w:rPr>
          <w:i/>
        </w:rPr>
        <w:t>Метамизол натрия:</w:t>
      </w:r>
      <w:r>
        <w:t xml:space="preserve"> хорошо и быстро всасывается в желудочно-кишечный тракт. В стенке кишечника гидролизуется с образованием активного метаболита, неизменный метамизол натрия в крови отсутствует (только после внутривенного введения незначительная его концентрация обнаруживается в плазме). Связь активного метаболита с белками плазмы – 50-60 %. Метаболизируется в печени, выводится почками. В терапевтических дозах проникает в грудное молоко.</w:t>
      </w:r>
    </w:p>
    <w:p w:rsidR="009D04A3" w:rsidRDefault="00D80438">
      <w:pPr>
        <w:spacing w:line="360" w:lineRule="auto"/>
        <w:jc w:val="both"/>
      </w:pPr>
      <w:r>
        <w:rPr>
          <w:i/>
        </w:rPr>
        <w:t>Папаверин:</w:t>
      </w:r>
      <w:r>
        <w:t xml:space="preserve"> абсорбция зависит от лекарственной формы. Биодоступность в среднем – 54 %. Связь с белками плазмы – 90 %. Хорошо распределяется, проникает через гистогематические барьеры. Метаболизируется в печени. Период полувыведения (Т ½) - 0,5-2 ч (может удлиняться до 24 ч). Выводится почками в виде метаболитов. Полностью удаляется из крови при гемодиализе.</w:t>
      </w:r>
    </w:p>
    <w:p w:rsidR="009D04A3" w:rsidRDefault="00D80438">
      <w:pPr>
        <w:spacing w:after="160" w:line="360" w:lineRule="auto"/>
        <w:jc w:val="both"/>
      </w:pPr>
      <w:r>
        <w:rPr>
          <w:i/>
        </w:rPr>
        <w:t>Фенобарбитал:</w:t>
      </w:r>
      <w:r>
        <w:t xml:space="preserve"> при приеме внутрь фенобарбитал полностью, но относительно медленно всасывается. Максимальная концентрация в крови наблюдается через 1-2 ч после приема. Около 50 % связывается с белками плазмы. Препарат равномерно распределяется в разных органах и тканях; меньшие концентрации его обнаруживаются в тканях мозга. Период полувыведения у взрослых составляет 2-4 суток. Выделяется из организма медленно, что создает предпосылки для кумуляции. Метаболизируется микросомальными ферментами печени. Выводится почками в виде неактивных метаболитов 25-50 % - в неизмененном виде.</w:t>
      </w:r>
    </w:p>
    <w:p w:rsidR="009D04A3" w:rsidRDefault="00D80438">
      <w:pPr>
        <w:spacing w:line="360" w:lineRule="auto"/>
        <w:jc w:val="both"/>
        <w:rPr>
          <w:b/>
        </w:rPr>
      </w:pPr>
      <w:r>
        <w:rPr>
          <w:b/>
        </w:rPr>
        <w:t>Показания к применению</w:t>
      </w:r>
    </w:p>
    <w:p w:rsidR="009D04A3" w:rsidRDefault="00D80438">
      <w:pPr>
        <w:spacing w:after="160" w:line="360" w:lineRule="auto"/>
        <w:jc w:val="both"/>
      </w:pPr>
      <w:r>
        <w:t>Болевой синдром (слабо или умеренно выраженный), связанный со спазмом периферических артерий, гладкой мускулатуры желудочно-кишечного тракта, сосудов головного мозга, при повышении артериального давления.</w:t>
      </w:r>
    </w:p>
    <w:p w:rsidR="009D04A3" w:rsidRDefault="00D80438">
      <w:pPr>
        <w:pStyle w:val="20"/>
        <w:widowControl/>
        <w:suppressAutoHyphens/>
        <w:spacing w:line="360" w:lineRule="auto"/>
        <w:contextualSpacing/>
        <w:mirrorIndents/>
        <w:rPr>
          <w:b/>
          <w:sz w:val="24"/>
          <w:szCs w:val="24"/>
        </w:rPr>
      </w:pPr>
      <w:r>
        <w:rPr>
          <w:b/>
          <w:sz w:val="24"/>
          <w:szCs w:val="24"/>
        </w:rPr>
        <w:t>Противопоказания</w:t>
      </w:r>
    </w:p>
    <w:p w:rsidR="009D04A3" w:rsidRDefault="00D80438">
      <w:pPr>
        <w:pStyle w:val="30"/>
        <w:widowControl/>
        <w:tabs>
          <w:tab w:val="center" w:pos="11763"/>
          <w:tab w:val="right" w:pos="15020"/>
        </w:tabs>
        <w:suppressAutoHyphens/>
        <w:spacing w:after="160" w:line="360" w:lineRule="auto"/>
        <w:contextualSpacing/>
        <w:mirrorIndents/>
      </w:pPr>
      <w:r>
        <w:rPr>
          <w:sz w:val="24"/>
          <w:szCs w:val="24"/>
        </w:rPr>
        <w:t xml:space="preserve">Гиперчувствительность (в т.ч. к производным пиразолона); угнетение костномозгового кроветворения; выраженная печеночная и/или почечная недостаточность; дефицит глюкозо-6-фосфатдегидрогеназы; детский возраст младше 8 лет, беременность, период лактации, тахиаритмии, стабильная стенокардия напряжения III-IV функционального класса, нестабильная стенокардия, спонтанная стенокардия, коллапс, декомпенсированная </w:t>
      </w:r>
      <w:r>
        <w:rPr>
          <w:sz w:val="24"/>
          <w:szCs w:val="24"/>
        </w:rPr>
        <w:lastRenderedPageBreak/>
        <w:t>хроническая сердечная недостаточность; закрытоугольная глаукома; гиперплазия предстательной железы; кишечная непроходимость, мегаколон, респираторные заболевания, сопровождающиеся обструктивным синдромом; бронхиальная астма, спровоцированная приемом ацетилсалициловой кислоты, салицилатов и других нестероидных противовоспалительных препаратов; нарушение атриовентрикулярной проводимости; коматозное состояние; угнетение дыхания; пожилой возраст; заболевания, сопровождающиеся повышением мышечного тонуса, судорожный синдром, порфирия (в том числе в анамнезе), миастения, алкогольная или наркотическая зависимость.</w:t>
      </w:r>
    </w:p>
    <w:p w:rsidR="009D04A3" w:rsidRDefault="00D80438">
      <w:pPr>
        <w:pStyle w:val="20"/>
        <w:widowControl/>
        <w:suppressAutoHyphens/>
        <w:spacing w:line="360" w:lineRule="auto"/>
        <w:contextualSpacing/>
        <w:mirrorIndents/>
        <w:rPr>
          <w:b/>
          <w:sz w:val="24"/>
          <w:szCs w:val="24"/>
        </w:rPr>
      </w:pPr>
      <w:r>
        <w:rPr>
          <w:b/>
          <w:sz w:val="24"/>
          <w:szCs w:val="24"/>
        </w:rPr>
        <w:t>С осторожностью</w:t>
      </w:r>
    </w:p>
    <w:p w:rsidR="009D04A3" w:rsidRDefault="00D80438">
      <w:pPr>
        <w:pStyle w:val="30"/>
        <w:widowControl/>
        <w:suppressAutoHyphens/>
        <w:spacing w:after="160" w:line="360" w:lineRule="auto"/>
        <w:contextualSpacing/>
        <w:mirrorIndents/>
        <w:rPr>
          <w:sz w:val="24"/>
          <w:szCs w:val="24"/>
        </w:rPr>
      </w:pPr>
      <w:r>
        <w:rPr>
          <w:sz w:val="24"/>
          <w:szCs w:val="24"/>
        </w:rPr>
        <w:t>Артериальная гипотензия, заболевания периферической крови, печеночная недостаточность.</w:t>
      </w:r>
    </w:p>
    <w:p w:rsidR="009D04A3" w:rsidRDefault="00D80438">
      <w:pPr>
        <w:spacing w:line="360" w:lineRule="auto"/>
        <w:jc w:val="both"/>
        <w:rPr>
          <w:b/>
        </w:rPr>
      </w:pPr>
      <w:r>
        <w:rPr>
          <w:b/>
        </w:rPr>
        <w:t>Применение при беременности и в период грудного вскармливания</w:t>
      </w:r>
    </w:p>
    <w:p w:rsidR="009D04A3" w:rsidRDefault="00D80438">
      <w:pPr>
        <w:spacing w:line="360" w:lineRule="auto"/>
        <w:jc w:val="both"/>
      </w:pPr>
      <w:r>
        <w:t>При беременности и в период кормления грудью препарат противопоказан.</w:t>
      </w:r>
    </w:p>
    <w:p w:rsidR="009D04A3" w:rsidRDefault="00D80438">
      <w:pPr>
        <w:spacing w:line="360" w:lineRule="auto"/>
        <w:jc w:val="both"/>
        <w:rPr>
          <w:i/>
        </w:rPr>
      </w:pPr>
      <w:r>
        <w:rPr>
          <w:i/>
        </w:rPr>
        <w:t>Беременность</w:t>
      </w:r>
    </w:p>
    <w:p w:rsidR="009D04A3" w:rsidRDefault="00D80438">
      <w:pPr>
        <w:spacing w:line="360" w:lineRule="auto"/>
        <w:jc w:val="both"/>
      </w:pPr>
      <w:r>
        <w:t>Данные о применении комбинированного препарата Андипал во время беременности ограничены. Метамизол натрия, входящий в состав препарата, проникает через плаценту. По результатам доклинических исследований тератогенное действие метамизола натрия не обнаружено. Несмотря на то, что метамизол натрия слабо ингибирует синтез простагландинов нельзя исключить преждевременное (внутриутробное) закрытие артериального протока, а также перинатальные осложнения, обусловленные нарушением агрегации тромбоцитов у матери или новорожденного.</w:t>
      </w:r>
    </w:p>
    <w:p w:rsidR="009D04A3" w:rsidRDefault="00D80438">
      <w:pPr>
        <w:spacing w:line="360" w:lineRule="auto"/>
        <w:jc w:val="both"/>
        <w:rPr>
          <w:i/>
        </w:rPr>
      </w:pPr>
      <w:r>
        <w:rPr>
          <w:i/>
        </w:rPr>
        <w:t>Грудное вскармливание</w:t>
      </w:r>
    </w:p>
    <w:p w:rsidR="009D04A3" w:rsidRDefault="00D80438">
      <w:pPr>
        <w:spacing w:after="160" w:line="360" w:lineRule="auto"/>
        <w:jc w:val="both"/>
      </w:pPr>
      <w:r>
        <w:t>Метаболиты метамизола натрия проникают в грудное молоко, поэтому при применении препарата Андипал, а также в течение 48 ч после приема последней дозы необходимо отказаться от грудного вскармливания.</w:t>
      </w:r>
    </w:p>
    <w:p w:rsidR="009D04A3" w:rsidRDefault="00D80438">
      <w:pPr>
        <w:spacing w:line="360" w:lineRule="auto"/>
        <w:jc w:val="both"/>
        <w:rPr>
          <w:b/>
        </w:rPr>
      </w:pPr>
      <w:r>
        <w:rPr>
          <w:b/>
        </w:rPr>
        <w:t>Способ применения и дозы</w:t>
      </w:r>
    </w:p>
    <w:p w:rsidR="009D04A3" w:rsidRDefault="00D80438">
      <w:pPr>
        <w:spacing w:line="360" w:lineRule="auto"/>
        <w:jc w:val="both"/>
      </w:pPr>
      <w:r>
        <w:t>Таблетки следует проглатывать целиком, запивая достаточным количеством жидкости.</w:t>
      </w:r>
    </w:p>
    <w:p w:rsidR="009D04A3" w:rsidRDefault="00D80438">
      <w:pPr>
        <w:spacing w:line="360" w:lineRule="auto"/>
        <w:jc w:val="both"/>
      </w:pPr>
      <w:r>
        <w:t>Изначально следует применять наименьшую эффективную дозу.</w:t>
      </w:r>
    </w:p>
    <w:p w:rsidR="009D04A3" w:rsidRDefault="00D80438">
      <w:pPr>
        <w:spacing w:line="360" w:lineRule="auto"/>
        <w:jc w:val="both"/>
      </w:pPr>
      <w:r>
        <w:t>Взрослым и детям старше 8 лет принимать внутрь по 1 таблетке 2-3 раза в сутки.</w:t>
      </w:r>
    </w:p>
    <w:p w:rsidR="009D04A3" w:rsidRDefault="00D80438">
      <w:pPr>
        <w:spacing w:line="360" w:lineRule="auto"/>
        <w:jc w:val="both"/>
      </w:pPr>
      <w:r>
        <w:t>Максимальная суточная доза составляет 3 таблетки.</w:t>
      </w:r>
    </w:p>
    <w:p w:rsidR="009D04A3" w:rsidRDefault="00D80438">
      <w:pPr>
        <w:spacing w:line="360" w:lineRule="auto"/>
        <w:jc w:val="both"/>
      </w:pPr>
      <w:r>
        <w:t>Курс лечения зависит от характера и течения заболевания, достигнутого эффекта, характера комплексной фармакотерапии. Длительность лечения не должна превышать 3 суток.</w:t>
      </w:r>
    </w:p>
    <w:p w:rsidR="009D04A3" w:rsidRDefault="00D80438">
      <w:pPr>
        <w:spacing w:line="360" w:lineRule="auto"/>
        <w:jc w:val="both"/>
      </w:pPr>
      <w:bookmarkStart w:id="0" w:name="page5"/>
      <w:bookmarkEnd w:id="0"/>
      <w:r>
        <w:rPr>
          <w:i/>
        </w:rPr>
        <w:lastRenderedPageBreak/>
        <w:t>Тяжелое общее состояние и нарушение клиренса креатинина:</w:t>
      </w:r>
      <w:r>
        <w:t xml:space="preserve"> пациентам с тяжелым общим состоянием и нарушением клиренса креатинина необходимо снизить дозу, поскольку у них может быть снижено выведение метаболитов метамизола натрия.</w:t>
      </w:r>
    </w:p>
    <w:p w:rsidR="009D04A3" w:rsidRDefault="00D80438">
      <w:pPr>
        <w:spacing w:after="160" w:line="360" w:lineRule="auto"/>
        <w:jc w:val="both"/>
      </w:pPr>
      <w:r>
        <w:rPr>
          <w:i/>
        </w:rPr>
        <w:t>Почечная или печеночная недостаточность:</w:t>
      </w:r>
      <w:r>
        <w:t xml:space="preserve"> поскольку у пациентов с нарушением функции почек или печени скорость выведения препарата снижается, следует избегать многократного приема высоких доз. При краткосрочном применении снижения дозы не требуется. Опыт длительного применения отсутствует.</w:t>
      </w:r>
    </w:p>
    <w:p w:rsidR="009D04A3" w:rsidRDefault="00D80438">
      <w:pPr>
        <w:pStyle w:val="30"/>
        <w:widowControl/>
        <w:suppressAutoHyphens/>
        <w:spacing w:line="360" w:lineRule="auto"/>
        <w:mirrorIndents/>
        <w:jc w:val="left"/>
        <w:rPr>
          <w:b/>
          <w:sz w:val="24"/>
          <w:szCs w:val="24"/>
        </w:rPr>
      </w:pPr>
      <w:r>
        <w:rPr>
          <w:b/>
          <w:sz w:val="24"/>
          <w:szCs w:val="24"/>
        </w:rPr>
        <w:t>Побочное действие</w:t>
      </w:r>
    </w:p>
    <w:p w:rsidR="009D04A3" w:rsidRDefault="00D80438">
      <w:pPr>
        <w:pStyle w:val="30"/>
        <w:widowControl/>
        <w:suppressAutoHyphens/>
        <w:spacing w:line="360" w:lineRule="auto"/>
        <w:mirrorIndents/>
        <w:jc w:val="left"/>
      </w:pPr>
      <w:r>
        <w:rPr>
          <w:sz w:val="24"/>
          <w:szCs w:val="24"/>
        </w:rPr>
        <w:t xml:space="preserve">Частота приведенных побочных эффектов указана в соответствии с классификацией ВОЗ: </w:t>
      </w:r>
      <w:r w:rsidRPr="00264BE4">
        <w:rPr>
          <w:sz w:val="24"/>
          <w:szCs w:val="24"/>
        </w:rPr>
        <w:t>очень часто - более 10 %; часто - более 1 % и менее 10 %; нечасто - более 0,1 % и менее 1 %; редко - более 0,01 % и менее 0,1 %; очень редко - менее 0,01 %, включая отдельные случаи; частота неизвестна — по имеющимся данным установить частоту возникновения</w:t>
      </w:r>
      <w:r>
        <w:rPr>
          <w:sz w:val="24"/>
          <w:szCs w:val="24"/>
        </w:rPr>
        <w:t xml:space="preserve"> не представлялось возможным.</w:t>
      </w:r>
    </w:p>
    <w:p w:rsidR="009D04A3" w:rsidRDefault="00D80438">
      <w:pPr>
        <w:pStyle w:val="40"/>
        <w:widowControl/>
        <w:suppressAutoHyphens/>
        <w:spacing w:after="0" w:line="360" w:lineRule="auto"/>
        <w:mirrorIndents/>
        <w:jc w:val="left"/>
        <w:rPr>
          <w:sz w:val="24"/>
          <w:szCs w:val="24"/>
        </w:rPr>
      </w:pPr>
      <w:r>
        <w:rPr>
          <w:sz w:val="24"/>
          <w:szCs w:val="24"/>
        </w:rPr>
        <w:t>Для Андипала:</w:t>
      </w:r>
    </w:p>
    <w:p w:rsidR="009D04A3" w:rsidRDefault="00D80438">
      <w:pPr>
        <w:pStyle w:val="40"/>
        <w:widowControl/>
        <w:suppressAutoHyphens/>
        <w:spacing w:after="0" w:line="360" w:lineRule="auto"/>
        <w:mirrorIndents/>
        <w:jc w:val="left"/>
        <w:rPr>
          <w:sz w:val="24"/>
          <w:szCs w:val="24"/>
        </w:rPr>
      </w:pPr>
      <w:r>
        <w:rPr>
          <w:sz w:val="24"/>
          <w:szCs w:val="24"/>
        </w:rPr>
        <w:t>До настоящего времени не сообщалось о побочных эффектах при приеме данной комбинации. Частота возникновения нижеперечисленных возможных побочных эффектов неизвестна.</w:t>
      </w:r>
    </w:p>
    <w:p w:rsidR="009D04A3" w:rsidRDefault="00D80438">
      <w:pPr>
        <w:pStyle w:val="50"/>
        <w:widowControl/>
        <w:tabs>
          <w:tab w:val="right" w:pos="7308"/>
          <w:tab w:val="right" w:pos="8650"/>
          <w:tab w:val="right" w:pos="9910"/>
        </w:tabs>
        <w:suppressAutoHyphens/>
        <w:spacing w:line="360" w:lineRule="auto"/>
        <w:mirrorIndents/>
        <w:jc w:val="left"/>
      </w:pPr>
      <w:r>
        <w:rPr>
          <w:sz w:val="24"/>
          <w:szCs w:val="24"/>
        </w:rPr>
        <w:t xml:space="preserve">Со стороны центральной нервной системы: </w:t>
      </w:r>
      <w:r>
        <w:rPr>
          <w:rStyle w:val="51"/>
        </w:rPr>
        <w:t xml:space="preserve">сонливость, снижение </w:t>
      </w:r>
      <w:r>
        <w:rPr>
          <w:rStyle w:val="51"/>
        </w:rPr>
        <w:tab/>
        <w:t>скорости</w:t>
      </w:r>
    </w:p>
    <w:p w:rsidR="009D04A3" w:rsidRDefault="00D80438">
      <w:pPr>
        <w:pStyle w:val="40"/>
        <w:widowControl/>
        <w:suppressAutoHyphens/>
        <w:spacing w:after="0" w:line="360" w:lineRule="auto"/>
        <w:mirrorIndents/>
        <w:jc w:val="left"/>
        <w:rPr>
          <w:sz w:val="24"/>
          <w:szCs w:val="24"/>
        </w:rPr>
      </w:pPr>
      <w:r>
        <w:rPr>
          <w:sz w:val="24"/>
          <w:szCs w:val="24"/>
        </w:rPr>
        <w:t xml:space="preserve">психомоторных реакций. </w:t>
      </w:r>
    </w:p>
    <w:p w:rsidR="009D04A3" w:rsidRDefault="00D80438">
      <w:pPr>
        <w:pStyle w:val="40"/>
        <w:widowControl/>
        <w:suppressAutoHyphens/>
        <w:spacing w:after="0" w:line="360" w:lineRule="auto"/>
        <w:mirrorIndents/>
        <w:jc w:val="left"/>
        <w:rPr>
          <w:sz w:val="24"/>
          <w:szCs w:val="24"/>
        </w:rPr>
      </w:pPr>
      <w:r>
        <w:rPr>
          <w:i/>
          <w:sz w:val="24"/>
          <w:szCs w:val="24"/>
        </w:rPr>
        <w:t>Со</w:t>
      </w:r>
      <w:r>
        <w:rPr>
          <w:sz w:val="24"/>
          <w:szCs w:val="24"/>
        </w:rPr>
        <w:t xml:space="preserve"> </w:t>
      </w:r>
      <w:r>
        <w:rPr>
          <w:rStyle w:val="41"/>
        </w:rPr>
        <w:t>стороны пищеварительной системы:</w:t>
      </w:r>
      <w:r>
        <w:rPr>
          <w:sz w:val="24"/>
          <w:szCs w:val="24"/>
        </w:rPr>
        <w:t xml:space="preserve"> тошнота, запор.</w:t>
      </w:r>
    </w:p>
    <w:p w:rsidR="009D04A3" w:rsidRDefault="00D80438">
      <w:pPr>
        <w:pStyle w:val="50"/>
        <w:widowControl/>
        <w:suppressAutoHyphens/>
        <w:spacing w:line="360" w:lineRule="auto"/>
        <w:mirrorIndents/>
        <w:jc w:val="left"/>
        <w:rPr>
          <w:sz w:val="24"/>
          <w:szCs w:val="24"/>
        </w:rPr>
      </w:pPr>
      <w:r>
        <w:rPr>
          <w:sz w:val="24"/>
          <w:szCs w:val="24"/>
        </w:rPr>
        <w:t>Со стороны сердечно-сосудистой системы:</w:t>
      </w:r>
      <w:r>
        <w:rPr>
          <w:rStyle w:val="51"/>
        </w:rPr>
        <w:t xml:space="preserve"> артериальная гипотензия.</w:t>
      </w:r>
    </w:p>
    <w:p w:rsidR="009D04A3" w:rsidRDefault="00D80438">
      <w:pPr>
        <w:pStyle w:val="50"/>
        <w:widowControl/>
        <w:suppressAutoHyphens/>
        <w:spacing w:line="360" w:lineRule="auto"/>
        <w:mirrorIndents/>
        <w:jc w:val="left"/>
        <w:rPr>
          <w:sz w:val="24"/>
          <w:szCs w:val="24"/>
        </w:rPr>
      </w:pPr>
      <w:r>
        <w:rPr>
          <w:sz w:val="24"/>
          <w:szCs w:val="24"/>
        </w:rPr>
        <w:t>Аллергические реакции.</w:t>
      </w:r>
    </w:p>
    <w:p w:rsidR="009D04A3" w:rsidRDefault="00D80438">
      <w:pPr>
        <w:pStyle w:val="40"/>
        <w:widowControl/>
        <w:suppressAutoHyphens/>
        <w:spacing w:after="0" w:line="360" w:lineRule="auto"/>
        <w:mirrorIndents/>
        <w:jc w:val="left"/>
        <w:rPr>
          <w:sz w:val="24"/>
          <w:szCs w:val="24"/>
        </w:rPr>
      </w:pPr>
      <w:r>
        <w:rPr>
          <w:rStyle w:val="41"/>
        </w:rPr>
        <w:t>При длительном применении:</w:t>
      </w:r>
      <w:r>
        <w:rPr>
          <w:sz w:val="24"/>
          <w:szCs w:val="24"/>
        </w:rPr>
        <w:t xml:space="preserve"> лейкопения, агранулоцитоз, нарушение функции печени и почек.</w:t>
      </w:r>
    </w:p>
    <w:p w:rsidR="009D04A3" w:rsidRDefault="00D80438">
      <w:pPr>
        <w:pStyle w:val="40"/>
        <w:widowControl/>
        <w:suppressAutoHyphens/>
        <w:spacing w:after="0" w:line="360" w:lineRule="auto"/>
        <w:mirrorIndents/>
        <w:jc w:val="left"/>
        <w:rPr>
          <w:sz w:val="24"/>
          <w:szCs w:val="24"/>
        </w:rPr>
      </w:pPr>
      <w:r>
        <w:rPr>
          <w:sz w:val="24"/>
          <w:szCs w:val="24"/>
        </w:rPr>
        <w:t>Для Метамизола натрия:</w:t>
      </w:r>
    </w:p>
    <w:p w:rsidR="009D04A3" w:rsidRDefault="00D80438">
      <w:pPr>
        <w:pStyle w:val="40"/>
        <w:widowControl/>
        <w:suppressAutoHyphens/>
        <w:spacing w:after="0" w:line="360" w:lineRule="auto"/>
        <w:mirrorIndents/>
        <w:jc w:val="left"/>
        <w:rPr>
          <w:sz w:val="24"/>
          <w:szCs w:val="24"/>
        </w:rPr>
      </w:pPr>
      <w:r>
        <w:rPr>
          <w:rStyle w:val="41"/>
        </w:rPr>
        <w:t>Со стороны кожных покровов:</w:t>
      </w:r>
      <w:r>
        <w:rPr>
          <w:sz w:val="24"/>
          <w:szCs w:val="24"/>
        </w:rPr>
        <w:t xml:space="preserve"> нечасто - стойкая лекарственная сыпь; редко - сыпь (например, макулезно-папулезная); очень редко - синдром Стивенса-Джонсона, токсический эпидермальный некролиз.</w:t>
      </w:r>
    </w:p>
    <w:p w:rsidR="009D04A3" w:rsidRDefault="00D80438">
      <w:pPr>
        <w:pStyle w:val="40"/>
        <w:widowControl/>
        <w:suppressAutoHyphens/>
        <w:spacing w:after="0" w:line="360" w:lineRule="auto"/>
        <w:mirrorIndents/>
        <w:jc w:val="left"/>
        <w:rPr>
          <w:sz w:val="24"/>
          <w:szCs w:val="24"/>
        </w:rPr>
      </w:pPr>
      <w:r>
        <w:rPr>
          <w:rStyle w:val="41"/>
        </w:rPr>
        <w:t>Со стороны мочевыделительной системы:</w:t>
      </w:r>
      <w:r>
        <w:rPr>
          <w:sz w:val="24"/>
          <w:szCs w:val="24"/>
        </w:rPr>
        <w:t xml:space="preserve"> очень редко - острое нарушение функции почек, которое в очень редких случаях может приводить к протеинурии, олиго- или анурии и острой почечной недостаточности, острому интерстициальному нефриту.</w:t>
      </w:r>
    </w:p>
    <w:p w:rsidR="009D04A3" w:rsidRDefault="00D80438">
      <w:pPr>
        <w:pStyle w:val="40"/>
        <w:widowControl/>
        <w:suppressAutoHyphens/>
        <w:spacing w:after="0" w:line="360" w:lineRule="auto"/>
        <w:mirrorIndents/>
        <w:jc w:val="left"/>
        <w:rPr>
          <w:sz w:val="24"/>
          <w:szCs w:val="24"/>
        </w:rPr>
      </w:pPr>
      <w:r>
        <w:rPr>
          <w:rStyle w:val="41"/>
        </w:rPr>
        <w:t>Со стороны органов кроветворения:</w:t>
      </w:r>
      <w:r>
        <w:rPr>
          <w:sz w:val="24"/>
          <w:szCs w:val="24"/>
        </w:rPr>
        <w:t xml:space="preserve"> редко - лейкопения; очень редко - агранулоцитоз, включая случаи с летальным исходом, тромбоцитопения; частота неизвестна - апластическая анемия, панцитопения, включая случаи с летальным исходом. *</w:t>
      </w:r>
    </w:p>
    <w:p w:rsidR="009D04A3" w:rsidRDefault="00D80438">
      <w:pPr>
        <w:pStyle w:val="1"/>
        <w:widowControl/>
        <w:suppressAutoHyphens/>
        <w:spacing w:line="360" w:lineRule="auto"/>
        <w:mirrorIndents/>
        <w:jc w:val="left"/>
      </w:pPr>
      <w:r>
        <w:rPr>
          <w:sz w:val="24"/>
          <w:szCs w:val="24"/>
        </w:rPr>
        <w:lastRenderedPageBreak/>
        <w:t>*Эти реакции могут возникать, даже если ранее метамизол натрия не вызывал осложнений. Имеется ряд признаков повышенного риска агранулоцитоза, если метамизол натрия применяется более одной недели. Эта реакция носит дозонезависимый характер и может возникнуть в любой момент лечения. Она проявляется высокой лихорадкой, ознобом, болью в горле, болью при глотании, воспалением слизистых оболочек полости рта, носа, горла, генитальной и анальной области. Однако при применении антибиотиков эти явления могут быть слабо выраженными. Отмечается небольшое увеличение лимфатических узлов и селезенки или оно вовсе отсутствует. Скорость оседания эритроцитов существенно увеличивается, содержание гранулоцитов резко снижено или они не определяются. Как правило, но не всегда сохраняются нормальные показатели гемоглобина, эритроцитов и тромбоцитов. Тактика лечения предполагает немедленную отмену препарата</w:t>
      </w:r>
      <w:r w:rsidRPr="00264BE4">
        <w:rPr>
          <w:sz w:val="24"/>
          <w:szCs w:val="24"/>
        </w:rPr>
        <w:t>, т. е.</w:t>
      </w:r>
      <w:r>
        <w:rPr>
          <w:sz w:val="24"/>
          <w:szCs w:val="24"/>
        </w:rPr>
        <w:t xml:space="preserve"> препарат следует отменить немедленно, не дожидаясь результатов лабораторных исследований, если отмечается неожиданное ухудшение общего состояния, лихорадка не спадает или появляются новые или болезненные изъязвления на слизистых оболочках, особенно во рту, носу или горле. При возникновении панцитопении препарат следует немедленно отменить и контролировать общий анализ крови до возвращения его показателей к норме.</w:t>
      </w:r>
    </w:p>
    <w:p w:rsidR="009D04A3" w:rsidRDefault="00D80438">
      <w:pPr>
        <w:pStyle w:val="1"/>
        <w:widowControl/>
        <w:suppressAutoHyphens/>
        <w:spacing w:line="360" w:lineRule="auto"/>
        <w:mirrorIndents/>
        <w:jc w:val="left"/>
        <w:rPr>
          <w:sz w:val="24"/>
          <w:szCs w:val="24"/>
        </w:rPr>
      </w:pPr>
      <w:r>
        <w:rPr>
          <w:rStyle w:val="a9"/>
          <w:sz w:val="24"/>
          <w:szCs w:val="24"/>
        </w:rPr>
        <w:t>Со стороны сердечно-сосудистой системы:</w:t>
      </w:r>
      <w:r>
        <w:rPr>
          <w:sz w:val="24"/>
          <w:szCs w:val="24"/>
        </w:rPr>
        <w:t xml:space="preserve"> нечасто - изолированное снижение артериального давления (возможно фармакологически обусловленное и не сопровождающееся другими проявлениями анафилактических/анафилактоидных реакций). Снижение артериального давления может быть резко выраженным. При лихорадке также возможно дозозависимое резкое снижение артериального давления без других признаков реакции гиперчувствительности.</w:t>
      </w:r>
    </w:p>
    <w:p w:rsidR="009D04A3" w:rsidRDefault="00D80438">
      <w:pPr>
        <w:pStyle w:val="1"/>
        <w:widowControl/>
        <w:suppressAutoHyphens/>
        <w:spacing w:line="360" w:lineRule="auto"/>
        <w:mirrorIndents/>
        <w:jc w:val="left"/>
        <w:rPr>
          <w:sz w:val="24"/>
          <w:szCs w:val="24"/>
        </w:rPr>
      </w:pPr>
      <w:r>
        <w:rPr>
          <w:rStyle w:val="a9"/>
          <w:sz w:val="24"/>
          <w:szCs w:val="24"/>
        </w:rPr>
        <w:t>Аллергические реакции:</w:t>
      </w:r>
      <w:r>
        <w:rPr>
          <w:sz w:val="24"/>
          <w:szCs w:val="24"/>
        </w:rPr>
        <w:t xml:space="preserve"> редко - анафилактоидные или анафилактические реакции; ** очень редко - анальгетическая бронхиальная астма. У пациентов с анальгетической бронхиальной астмой непереносимость, как правило, проявляется приступами бронхиальной астмы; частота неизвестна: анафилактический шок. **</w:t>
      </w:r>
    </w:p>
    <w:p w:rsidR="009D04A3" w:rsidRDefault="00D80438">
      <w:pPr>
        <w:pStyle w:val="1"/>
        <w:widowControl/>
        <w:suppressAutoHyphens/>
        <w:spacing w:line="360" w:lineRule="auto"/>
        <w:mirrorIndents/>
        <w:jc w:val="left"/>
        <w:rPr>
          <w:sz w:val="24"/>
          <w:szCs w:val="24"/>
        </w:rPr>
      </w:pPr>
      <w:r>
        <w:rPr>
          <w:sz w:val="24"/>
          <w:szCs w:val="24"/>
        </w:rPr>
        <w:t xml:space="preserve">**Эти реакции особенно характерны при парентеральном введении метамизола натрия, могут быть тяжелыми и угрожать жизни, в некоторых случаях приводить к летальному исходу. Эти реакции могут возникать, даже если ранее метамизол натрия не вызывал осложнений. Эти реакции могут возникать в ходе введения или непосредственно сразу после проглатывания или развиваться спустя несколько часов. Однако преимущественно они возникают в течение первого часа после применения. В более легких случаях они проявляются высыпаниями на коже и слизистых оболочках (например, зудом, жжением, покраснением, волдырями и отеком), одышкой и, реже, желудочно-кишечными </w:t>
      </w:r>
      <w:r>
        <w:rPr>
          <w:sz w:val="24"/>
          <w:szCs w:val="24"/>
        </w:rPr>
        <w:lastRenderedPageBreak/>
        <w:t>расстройствами. В тяжелых случаях эти легкие реакции могут переходить в генерализованную крапивницу, тяжелый ангионевротический отек (в том числе гортани), тяжелый бронхоспазм, нарушение ритма сердца, артериальную гипотензию (в некоторых случаях ей предшествует повышение артериального давления), шок. В связи с этим при первых признаках кожных реакций препарат следует отменить.</w:t>
      </w:r>
    </w:p>
    <w:p w:rsidR="009D04A3" w:rsidRDefault="00D80438">
      <w:pPr>
        <w:pStyle w:val="1"/>
        <w:widowControl/>
        <w:suppressAutoHyphens/>
        <w:spacing w:line="360" w:lineRule="auto"/>
        <w:mirrorIndents/>
        <w:jc w:val="left"/>
        <w:rPr>
          <w:sz w:val="24"/>
          <w:szCs w:val="24"/>
        </w:rPr>
      </w:pPr>
      <w:r>
        <w:rPr>
          <w:rStyle w:val="a9"/>
          <w:sz w:val="24"/>
          <w:szCs w:val="24"/>
        </w:rPr>
        <w:t>Прочие:</w:t>
      </w:r>
      <w:r>
        <w:rPr>
          <w:sz w:val="24"/>
          <w:szCs w:val="24"/>
        </w:rPr>
        <w:t xml:space="preserve"> частота неизвестна: сообщалось об окрашивании мочи в красный цвет, которое может быть обусловлено наличием рубазоновой кислоты в низкой концентрации (метаболита метамизола натрия).</w:t>
      </w:r>
    </w:p>
    <w:p w:rsidR="009D04A3" w:rsidRDefault="00D80438">
      <w:pPr>
        <w:pStyle w:val="1"/>
        <w:widowControl/>
        <w:suppressAutoHyphens/>
        <w:spacing w:line="360" w:lineRule="auto"/>
        <w:mirrorIndents/>
        <w:jc w:val="left"/>
        <w:rPr>
          <w:sz w:val="24"/>
          <w:szCs w:val="24"/>
        </w:rPr>
      </w:pPr>
      <w:r>
        <w:rPr>
          <w:sz w:val="24"/>
          <w:szCs w:val="24"/>
        </w:rPr>
        <w:t>Для Фенобарбитала:</w:t>
      </w:r>
    </w:p>
    <w:p w:rsidR="009D04A3" w:rsidRDefault="00D80438">
      <w:pPr>
        <w:pStyle w:val="1"/>
        <w:widowControl/>
        <w:suppressAutoHyphens/>
        <w:spacing w:line="360" w:lineRule="auto"/>
        <w:mirrorIndents/>
        <w:jc w:val="left"/>
        <w:rPr>
          <w:sz w:val="24"/>
          <w:szCs w:val="24"/>
        </w:rPr>
      </w:pPr>
      <w:r>
        <w:rPr>
          <w:rStyle w:val="a9"/>
          <w:sz w:val="24"/>
          <w:szCs w:val="24"/>
        </w:rPr>
        <w:t>Со стороны центральной нервной системы:</w:t>
      </w:r>
      <w:r>
        <w:rPr>
          <w:sz w:val="24"/>
          <w:szCs w:val="24"/>
        </w:rPr>
        <w:t xml:space="preserve"> частота неизвестна - астения, головокружение, общая слабость, атаксия, нистагм, парадоксальная реакция (особенно у пожилых и ослабленных больных - возбуждение), галлюцинации, депрессия, «кошмарные» сновидения, синкопе.</w:t>
      </w:r>
    </w:p>
    <w:p w:rsidR="009D04A3" w:rsidRDefault="00D80438">
      <w:pPr>
        <w:pStyle w:val="1"/>
        <w:widowControl/>
        <w:suppressAutoHyphens/>
        <w:spacing w:line="360" w:lineRule="auto"/>
        <w:mirrorIndents/>
        <w:jc w:val="left"/>
        <w:rPr>
          <w:sz w:val="24"/>
          <w:szCs w:val="24"/>
        </w:rPr>
      </w:pPr>
      <w:r>
        <w:rPr>
          <w:rStyle w:val="a9"/>
          <w:sz w:val="24"/>
          <w:szCs w:val="24"/>
        </w:rPr>
        <w:t>Со стороны пищеварительной системы:</w:t>
      </w:r>
      <w:r>
        <w:rPr>
          <w:sz w:val="24"/>
          <w:szCs w:val="24"/>
        </w:rPr>
        <w:t xml:space="preserve"> частота неизвестна - рвота, при длительном применении нарушение функции печени.</w:t>
      </w:r>
    </w:p>
    <w:p w:rsidR="009D04A3" w:rsidRDefault="00D80438">
      <w:pPr>
        <w:pStyle w:val="1"/>
        <w:widowControl/>
        <w:suppressAutoHyphens/>
        <w:spacing w:line="360" w:lineRule="auto"/>
        <w:mirrorIndents/>
        <w:jc w:val="left"/>
        <w:rPr>
          <w:sz w:val="24"/>
          <w:szCs w:val="24"/>
        </w:rPr>
      </w:pPr>
      <w:r>
        <w:rPr>
          <w:rStyle w:val="a9"/>
          <w:sz w:val="24"/>
          <w:szCs w:val="24"/>
        </w:rPr>
        <w:t>Со стороны органов кроветворения:</w:t>
      </w:r>
      <w:r>
        <w:rPr>
          <w:sz w:val="24"/>
          <w:szCs w:val="24"/>
        </w:rPr>
        <w:t xml:space="preserve"> частота неизвестна - агранулоцитоз, мегалобластная анемия, тромбоцитопения.</w:t>
      </w:r>
    </w:p>
    <w:p w:rsidR="009D04A3" w:rsidRDefault="00D80438">
      <w:pPr>
        <w:pStyle w:val="1"/>
        <w:widowControl/>
        <w:suppressAutoHyphens/>
        <w:spacing w:line="360" w:lineRule="auto"/>
        <w:mirrorIndents/>
        <w:jc w:val="left"/>
        <w:rPr>
          <w:sz w:val="24"/>
          <w:szCs w:val="24"/>
        </w:rPr>
      </w:pPr>
      <w:r>
        <w:rPr>
          <w:rStyle w:val="a9"/>
          <w:sz w:val="24"/>
          <w:szCs w:val="24"/>
        </w:rPr>
        <w:t>Аллергические реакции:</w:t>
      </w:r>
      <w:r>
        <w:rPr>
          <w:sz w:val="24"/>
          <w:szCs w:val="24"/>
        </w:rPr>
        <w:t xml:space="preserve"> частота неизвестна - кожная сыпь, крапивница, отечность век, лица и губ, затрудненное дыхание, редко - эксфолиативный дерматит, злокачественная экссудативная эритема (синдром Стивенса-Джонсона).</w:t>
      </w:r>
    </w:p>
    <w:p w:rsidR="009D04A3" w:rsidRDefault="00D80438">
      <w:pPr>
        <w:pStyle w:val="1"/>
        <w:widowControl/>
        <w:suppressAutoHyphens/>
        <w:spacing w:line="360" w:lineRule="auto"/>
        <w:mirrorIndents/>
        <w:jc w:val="left"/>
        <w:rPr>
          <w:sz w:val="24"/>
          <w:szCs w:val="24"/>
        </w:rPr>
      </w:pPr>
      <w:r>
        <w:rPr>
          <w:rStyle w:val="a9"/>
          <w:sz w:val="24"/>
          <w:szCs w:val="24"/>
        </w:rPr>
        <w:t>Прочие:</w:t>
      </w:r>
      <w:r>
        <w:rPr>
          <w:sz w:val="24"/>
          <w:szCs w:val="24"/>
        </w:rPr>
        <w:t xml:space="preserve"> частота неизвестна - при длительном применении лекарственная зависимость.</w:t>
      </w:r>
    </w:p>
    <w:p w:rsidR="009D04A3" w:rsidRDefault="00D80438">
      <w:pPr>
        <w:pStyle w:val="1"/>
        <w:widowControl/>
        <w:suppressAutoHyphens/>
        <w:spacing w:line="360" w:lineRule="auto"/>
        <w:mirrorIndents/>
        <w:jc w:val="left"/>
        <w:rPr>
          <w:sz w:val="24"/>
          <w:szCs w:val="24"/>
        </w:rPr>
      </w:pPr>
      <w:r>
        <w:rPr>
          <w:sz w:val="24"/>
          <w:szCs w:val="24"/>
        </w:rPr>
        <w:t>Для Бендазола:</w:t>
      </w:r>
    </w:p>
    <w:p w:rsidR="009D04A3" w:rsidRDefault="00D80438">
      <w:pPr>
        <w:pStyle w:val="1"/>
        <w:widowControl/>
        <w:suppressAutoHyphens/>
        <w:spacing w:line="360" w:lineRule="auto"/>
        <w:mirrorIndents/>
        <w:jc w:val="left"/>
        <w:rPr>
          <w:sz w:val="24"/>
          <w:szCs w:val="24"/>
        </w:rPr>
      </w:pPr>
      <w:r>
        <w:rPr>
          <w:sz w:val="24"/>
          <w:szCs w:val="24"/>
        </w:rPr>
        <w:t>Перечисленные эффекты проявляются при применении в больших дозах. При снижении дозы или отмене препарата названные побочные явления быстро проходят.</w:t>
      </w:r>
    </w:p>
    <w:p w:rsidR="009D04A3" w:rsidRDefault="00D80438">
      <w:pPr>
        <w:pStyle w:val="1"/>
        <w:widowControl/>
        <w:suppressAutoHyphens/>
        <w:spacing w:line="360" w:lineRule="auto"/>
        <w:mirrorIndents/>
        <w:jc w:val="left"/>
        <w:rPr>
          <w:sz w:val="24"/>
          <w:szCs w:val="24"/>
        </w:rPr>
      </w:pPr>
      <w:r>
        <w:rPr>
          <w:rStyle w:val="a9"/>
          <w:sz w:val="24"/>
          <w:szCs w:val="24"/>
        </w:rPr>
        <w:t>Со стороны центральной нервной системы:</w:t>
      </w:r>
      <w:r>
        <w:rPr>
          <w:sz w:val="24"/>
          <w:szCs w:val="24"/>
        </w:rPr>
        <w:t xml:space="preserve"> частота неизвестна - головокружение, головная боль.</w:t>
      </w:r>
    </w:p>
    <w:p w:rsidR="009D04A3" w:rsidRDefault="00D80438">
      <w:pPr>
        <w:pStyle w:val="1"/>
        <w:widowControl/>
        <w:suppressAutoHyphens/>
        <w:spacing w:line="360" w:lineRule="auto"/>
        <w:mirrorIndents/>
        <w:jc w:val="left"/>
        <w:rPr>
          <w:sz w:val="24"/>
          <w:szCs w:val="24"/>
        </w:rPr>
      </w:pPr>
      <w:r>
        <w:rPr>
          <w:rStyle w:val="a9"/>
          <w:sz w:val="24"/>
          <w:szCs w:val="24"/>
        </w:rPr>
        <w:t>Со стороны кожных покровов:</w:t>
      </w:r>
      <w:r>
        <w:rPr>
          <w:sz w:val="24"/>
          <w:szCs w:val="24"/>
        </w:rPr>
        <w:t xml:space="preserve"> частота неизвестна - повышенное потоотделение.</w:t>
      </w:r>
    </w:p>
    <w:p w:rsidR="009D04A3" w:rsidRDefault="00D80438">
      <w:pPr>
        <w:pStyle w:val="60"/>
        <w:widowControl/>
        <w:suppressAutoHyphens/>
        <w:spacing w:after="0" w:line="360" w:lineRule="auto"/>
        <w:mirrorIndents/>
        <w:jc w:val="left"/>
        <w:rPr>
          <w:sz w:val="24"/>
          <w:szCs w:val="24"/>
        </w:rPr>
      </w:pPr>
      <w:r>
        <w:rPr>
          <w:sz w:val="24"/>
          <w:szCs w:val="24"/>
        </w:rPr>
        <w:t>Со стороны пищеварительной системы:</w:t>
      </w:r>
      <w:r>
        <w:rPr>
          <w:rStyle w:val="61"/>
          <w:sz w:val="24"/>
          <w:szCs w:val="24"/>
        </w:rPr>
        <w:t xml:space="preserve"> частота неизвестна</w:t>
      </w:r>
      <w:r>
        <w:rPr>
          <w:i w:val="0"/>
          <w:iCs w:val="0"/>
          <w:sz w:val="24"/>
          <w:szCs w:val="24"/>
        </w:rPr>
        <w:t xml:space="preserve"> - </w:t>
      </w:r>
      <w:r>
        <w:rPr>
          <w:rStyle w:val="61"/>
          <w:sz w:val="24"/>
          <w:szCs w:val="24"/>
        </w:rPr>
        <w:t>тошнота.</w:t>
      </w:r>
    </w:p>
    <w:p w:rsidR="009D04A3" w:rsidRDefault="00D80438">
      <w:pPr>
        <w:pStyle w:val="1"/>
        <w:widowControl/>
        <w:suppressAutoHyphens/>
        <w:spacing w:line="360" w:lineRule="auto"/>
        <w:mirrorIndents/>
        <w:jc w:val="left"/>
        <w:rPr>
          <w:sz w:val="24"/>
          <w:szCs w:val="24"/>
        </w:rPr>
      </w:pPr>
      <w:r>
        <w:rPr>
          <w:sz w:val="24"/>
          <w:szCs w:val="24"/>
        </w:rPr>
        <w:t>Для Папаверина гидрохлорида:</w:t>
      </w:r>
    </w:p>
    <w:p w:rsidR="009D04A3" w:rsidRDefault="00D80438">
      <w:pPr>
        <w:pStyle w:val="60"/>
        <w:widowControl/>
        <w:suppressAutoHyphens/>
        <w:spacing w:after="0" w:line="360" w:lineRule="auto"/>
        <w:mirrorIndents/>
        <w:jc w:val="left"/>
        <w:rPr>
          <w:sz w:val="24"/>
          <w:szCs w:val="24"/>
        </w:rPr>
      </w:pPr>
      <w:r>
        <w:rPr>
          <w:sz w:val="24"/>
          <w:szCs w:val="24"/>
        </w:rPr>
        <w:t>Со стороны центральной нервной системы:</w:t>
      </w:r>
      <w:r>
        <w:rPr>
          <w:rStyle w:val="61"/>
          <w:sz w:val="24"/>
          <w:szCs w:val="24"/>
        </w:rPr>
        <w:t xml:space="preserve"> часто - сонливость.</w:t>
      </w:r>
    </w:p>
    <w:p w:rsidR="009D04A3" w:rsidRDefault="00D80438">
      <w:pPr>
        <w:pStyle w:val="1"/>
        <w:widowControl/>
        <w:suppressAutoHyphens/>
        <w:spacing w:line="360" w:lineRule="auto"/>
        <w:mirrorIndents/>
        <w:jc w:val="left"/>
        <w:rPr>
          <w:sz w:val="24"/>
          <w:szCs w:val="24"/>
        </w:rPr>
      </w:pPr>
      <w:r>
        <w:rPr>
          <w:rStyle w:val="a9"/>
          <w:sz w:val="24"/>
          <w:szCs w:val="24"/>
        </w:rPr>
        <w:t>Со стороны кожных покровов:</w:t>
      </w:r>
      <w:r>
        <w:rPr>
          <w:sz w:val="24"/>
          <w:szCs w:val="24"/>
        </w:rPr>
        <w:t xml:space="preserve"> часто - кожная сыпь (обычно эритематозная, крапивница), нечасто - кожный зуд, редко - повышенная потливость.</w:t>
      </w:r>
    </w:p>
    <w:p w:rsidR="009D04A3" w:rsidRDefault="00D80438">
      <w:pPr>
        <w:pStyle w:val="1"/>
        <w:widowControl/>
        <w:suppressAutoHyphens/>
        <w:spacing w:line="360" w:lineRule="auto"/>
        <w:mirrorIndents/>
        <w:jc w:val="left"/>
        <w:rPr>
          <w:sz w:val="24"/>
          <w:szCs w:val="24"/>
        </w:rPr>
      </w:pPr>
      <w:r>
        <w:rPr>
          <w:rStyle w:val="a9"/>
          <w:sz w:val="24"/>
          <w:szCs w:val="24"/>
        </w:rPr>
        <w:t>Со стороны пищеварительной системы:</w:t>
      </w:r>
      <w:r>
        <w:rPr>
          <w:sz w:val="24"/>
          <w:szCs w:val="24"/>
        </w:rPr>
        <w:t xml:space="preserve"> часто - тошнота, запор, нечасто - повышение активности «печеночных» трансаминаз.</w:t>
      </w:r>
    </w:p>
    <w:p w:rsidR="009D04A3" w:rsidRDefault="00D80438">
      <w:pPr>
        <w:pStyle w:val="1"/>
        <w:widowControl/>
        <w:suppressAutoHyphens/>
        <w:spacing w:line="360" w:lineRule="auto"/>
        <w:mirrorIndents/>
        <w:jc w:val="left"/>
        <w:rPr>
          <w:sz w:val="24"/>
          <w:szCs w:val="24"/>
        </w:rPr>
      </w:pPr>
      <w:r>
        <w:rPr>
          <w:rStyle w:val="a9"/>
          <w:sz w:val="24"/>
          <w:szCs w:val="24"/>
        </w:rPr>
        <w:lastRenderedPageBreak/>
        <w:t>Со стороны сердечно-сосудистой системы:</w:t>
      </w:r>
      <w:r>
        <w:rPr>
          <w:sz w:val="24"/>
          <w:szCs w:val="24"/>
        </w:rPr>
        <w:t xml:space="preserve"> часто - снижение артериального давления, нечасто - желудочковая экстрасистолия.</w:t>
      </w:r>
    </w:p>
    <w:p w:rsidR="009D04A3" w:rsidRDefault="00D80438">
      <w:pPr>
        <w:pStyle w:val="60"/>
        <w:widowControl/>
        <w:suppressAutoHyphens/>
        <w:spacing w:after="0" w:line="360" w:lineRule="auto"/>
        <w:mirrorIndents/>
        <w:jc w:val="left"/>
        <w:rPr>
          <w:i w:val="0"/>
          <w:sz w:val="24"/>
          <w:szCs w:val="24"/>
        </w:rPr>
      </w:pPr>
      <w:r>
        <w:rPr>
          <w:sz w:val="24"/>
          <w:szCs w:val="24"/>
        </w:rPr>
        <w:t>Со стороны органов кроветворения:</w:t>
      </w:r>
      <w:r>
        <w:rPr>
          <w:rStyle w:val="61"/>
          <w:sz w:val="24"/>
          <w:szCs w:val="24"/>
        </w:rPr>
        <w:t xml:space="preserve"> очень редко - эозинофилия.</w:t>
      </w:r>
    </w:p>
    <w:p w:rsidR="009D04A3" w:rsidRDefault="00D80438">
      <w:pPr>
        <w:spacing w:line="360" w:lineRule="auto"/>
        <w:jc w:val="both"/>
        <w:rPr>
          <w:b/>
        </w:rPr>
      </w:pPr>
      <w:r>
        <w:rPr>
          <w:b/>
        </w:rPr>
        <w:t>Передозировка</w:t>
      </w:r>
    </w:p>
    <w:p w:rsidR="009D04A3" w:rsidRDefault="00D80438">
      <w:pPr>
        <w:pStyle w:val="1"/>
        <w:widowControl/>
        <w:suppressAutoHyphens/>
        <w:spacing w:line="360" w:lineRule="auto"/>
        <w:mirrorIndents/>
        <w:jc w:val="left"/>
        <w:rPr>
          <w:sz w:val="24"/>
          <w:szCs w:val="24"/>
        </w:rPr>
      </w:pPr>
      <w:r>
        <w:rPr>
          <w:sz w:val="24"/>
          <w:szCs w:val="24"/>
        </w:rPr>
        <w:t>Для Андипала: симптомы передозировки препарата обусловлены свойствами входящих в него компонентов. При передозировке возникает выраженная сонливость, головокружение, коллаптоидное состояние.</w:t>
      </w:r>
    </w:p>
    <w:p w:rsidR="009D04A3" w:rsidRDefault="00D80438">
      <w:pPr>
        <w:pStyle w:val="1"/>
        <w:widowControl/>
        <w:suppressAutoHyphens/>
        <w:spacing w:line="360" w:lineRule="auto"/>
        <w:mirrorIndents/>
        <w:jc w:val="left"/>
        <w:rPr>
          <w:sz w:val="24"/>
          <w:szCs w:val="24"/>
        </w:rPr>
      </w:pPr>
      <w:r>
        <w:rPr>
          <w:sz w:val="24"/>
          <w:szCs w:val="24"/>
        </w:rPr>
        <w:t>Лечение: оказание первой помощи - промывание желудка, прием активированного угля. Симптоматическая терапия, направленная на поддержание жизненно важных функций. Лечение интоксикации, как и профилактика серьезных осложнений, требуют интенсивного медицинского наблюдения и лечения.</w:t>
      </w:r>
    </w:p>
    <w:p w:rsidR="009D04A3" w:rsidRDefault="00D80438">
      <w:pPr>
        <w:pStyle w:val="1"/>
        <w:widowControl/>
        <w:suppressAutoHyphens/>
        <w:spacing w:line="360" w:lineRule="auto"/>
        <w:mirrorIndents/>
        <w:jc w:val="left"/>
        <w:rPr>
          <w:sz w:val="24"/>
          <w:szCs w:val="24"/>
        </w:rPr>
      </w:pPr>
      <w:r>
        <w:rPr>
          <w:sz w:val="24"/>
          <w:szCs w:val="24"/>
        </w:rPr>
        <w:t>Для Метамизола натрия: симптомы передозировки - острая передозировка проявляется тошнотой, рвотой, болью в животе, нарушением функции почек/острой почечной недостаточностью (например, как проявление интерстициального нефрита) и, редко, симптомами со стороны центральной нервной системы (комой, судорогами) и снижением артериального давления, приводящим к тахикардии и шоку. При высокой передозировке экскреция рубазоновой кислоты может окрасить мочу в красный цвет.</w:t>
      </w:r>
    </w:p>
    <w:p w:rsidR="009D04A3" w:rsidRDefault="00D80438">
      <w:pPr>
        <w:pStyle w:val="1"/>
        <w:widowControl/>
        <w:suppressAutoHyphens/>
        <w:spacing w:line="360" w:lineRule="auto"/>
        <w:mirrorIndents/>
        <w:jc w:val="left"/>
        <w:rPr>
          <w:sz w:val="24"/>
          <w:szCs w:val="24"/>
        </w:rPr>
      </w:pPr>
      <w:r>
        <w:rPr>
          <w:sz w:val="24"/>
          <w:szCs w:val="24"/>
        </w:rPr>
        <w:t xml:space="preserve">Лечение: специфический антидот не известен. При недавней передозировке в целях ограничения поступления препарата в организм проводят первичную детоксикацию (например, промывание желудка) или сорбционную терапию (например, активированный уголь). Основной метаболит (4N-метиламиноантипирин) удаляется при гемодиализе, гемофильтрации, гемоперфузии и плазмафильтрации. Лечение передозировки, равно как и профилактика серьезных осложнений может потребовать общего и специального интенсивного медицинского наблюдения и лечения. </w:t>
      </w:r>
    </w:p>
    <w:p w:rsidR="009D04A3" w:rsidRDefault="00D80438">
      <w:pPr>
        <w:pStyle w:val="1"/>
        <w:widowControl/>
        <w:suppressAutoHyphens/>
        <w:spacing w:line="360" w:lineRule="auto"/>
        <w:mirrorIndents/>
        <w:jc w:val="left"/>
        <w:rPr>
          <w:sz w:val="24"/>
          <w:szCs w:val="24"/>
        </w:rPr>
      </w:pPr>
      <w:r>
        <w:rPr>
          <w:sz w:val="24"/>
          <w:szCs w:val="24"/>
        </w:rPr>
        <w:t>Для Фенобарбитала: симптомы передозировки - нистагм, атаксия, головная боль, заторможенность, смазанная речь, выраженная слабость, снижение или утрата рефлексов, возбуждение, повышение или понижение температуры тела, угнетение дыхания, одышка, снижение артериального давления, сужение зрачков (сменяющееся паралитическим расширением), олигурия, тахи- или брадикардия, цианоз, спутанность сознания, прекращение электрической активности мозга, отек легких, кома, позже - пневмония, аритмии, сердечная недостаточность; при приеме 2-10 г - летальный исход; при хронической токсичности - раздражительность, ослабление способности к критической оценке, нарушения сна, спутанность сознания.</w:t>
      </w:r>
    </w:p>
    <w:p w:rsidR="009D04A3" w:rsidRDefault="00D80438">
      <w:pPr>
        <w:pStyle w:val="30"/>
        <w:widowControl/>
        <w:suppressAutoHyphens/>
        <w:spacing w:line="360" w:lineRule="auto"/>
        <w:mirrorIndents/>
        <w:jc w:val="left"/>
        <w:rPr>
          <w:sz w:val="24"/>
          <w:szCs w:val="24"/>
        </w:rPr>
      </w:pPr>
      <w:r>
        <w:rPr>
          <w:sz w:val="24"/>
          <w:szCs w:val="24"/>
        </w:rPr>
        <w:lastRenderedPageBreak/>
        <w:t>Лечение: специфического антидота нет. Промывание желудка, прием активированного угля, проведение дезинтоксикационной терапии, симптоматическое лечение, поддержание жизненно важных функций организма.</w:t>
      </w:r>
    </w:p>
    <w:p w:rsidR="009D04A3" w:rsidRDefault="00D80438">
      <w:pPr>
        <w:pStyle w:val="30"/>
        <w:widowControl/>
        <w:suppressAutoHyphens/>
        <w:spacing w:line="360" w:lineRule="auto"/>
        <w:mirrorIndents/>
        <w:jc w:val="left"/>
        <w:rPr>
          <w:sz w:val="24"/>
          <w:szCs w:val="24"/>
        </w:rPr>
      </w:pPr>
      <w:r>
        <w:rPr>
          <w:sz w:val="24"/>
          <w:szCs w:val="24"/>
        </w:rPr>
        <w:t>Для Бендазола: сведения о случаях передозировки отсутствуют. Наиболее вероятным нежелательным явлением может быть выраженное снижение артериального давления. Лечение: при выраженном снижении артериального давления придать пациенту положение «лежа» с приподнятыми нижними конечностями, проводить симптоматическую терапию.</w:t>
      </w:r>
    </w:p>
    <w:p w:rsidR="009D04A3" w:rsidRDefault="00D80438">
      <w:pPr>
        <w:pStyle w:val="30"/>
        <w:widowControl/>
        <w:suppressAutoHyphens/>
        <w:spacing w:line="360" w:lineRule="auto"/>
        <w:mirrorIndents/>
        <w:jc w:val="left"/>
        <w:rPr>
          <w:sz w:val="24"/>
          <w:szCs w:val="24"/>
        </w:rPr>
      </w:pPr>
      <w:r>
        <w:rPr>
          <w:sz w:val="24"/>
          <w:szCs w:val="24"/>
        </w:rPr>
        <w:t>Для Папаверина гидрохлорида: симптомы передозировки - диплопия (двоение в глазах), слабость, снижение артериального давления.</w:t>
      </w:r>
    </w:p>
    <w:p w:rsidR="009D04A3" w:rsidRDefault="00D80438">
      <w:pPr>
        <w:pStyle w:val="30"/>
        <w:widowControl/>
        <w:suppressAutoHyphens/>
        <w:spacing w:after="160" w:line="360" w:lineRule="auto"/>
        <w:contextualSpacing/>
        <w:mirrorIndents/>
        <w:rPr>
          <w:sz w:val="24"/>
          <w:szCs w:val="24"/>
        </w:rPr>
      </w:pPr>
      <w:r>
        <w:rPr>
          <w:sz w:val="24"/>
          <w:szCs w:val="24"/>
        </w:rPr>
        <w:t>Лечение: симптоматическое (поддержание артериального давления).</w:t>
      </w:r>
    </w:p>
    <w:p w:rsidR="009D04A3" w:rsidRDefault="00D80438">
      <w:pPr>
        <w:spacing w:line="360" w:lineRule="auto"/>
        <w:jc w:val="both"/>
        <w:rPr>
          <w:b/>
        </w:rPr>
      </w:pPr>
      <w:r>
        <w:rPr>
          <w:b/>
        </w:rPr>
        <w:t>Взаимодействие с другими лекарственными средствами</w:t>
      </w:r>
    </w:p>
    <w:p w:rsidR="009D04A3" w:rsidRDefault="00D80438">
      <w:pPr>
        <w:spacing w:line="360" w:lineRule="auto"/>
        <w:jc w:val="both"/>
      </w:pPr>
      <w:r>
        <w:rPr>
          <w:i/>
        </w:rPr>
        <w:t>Фармакодинамическое:</w:t>
      </w:r>
      <w:r>
        <w:t xml:space="preserve"> комбинация с нитратами (в том числе нитроглицерин, изосорбида динитрат), блокаторами медленных кальциевых каналов (в том числе пропранолол, метопролол, окспренолол, талинолол), ганглиоблокаторами (в том числе азаметония бромид), диуретиками (в том числе дипиридамол, аминофиллин) усиливает гипотензивное действие Андипала.</w:t>
      </w:r>
    </w:p>
    <w:p w:rsidR="009D04A3" w:rsidRDefault="00D80438">
      <w:pPr>
        <w:spacing w:line="360" w:lineRule="auto"/>
        <w:jc w:val="both"/>
      </w:pPr>
      <w:r>
        <w:t>Совместное применение альфа-адреномиметиков прямого (в том числе эпинефрин, норэпинефрин) и непрямого (эфедрин) типа действия, Н-холиномиметиков (в том числе никотин, ацетилхолин), аналептиков (в том числе камфора, сульфокамфокаин [прокаин+сульфокамфорная кислота], никетамид, бемегрид, лобелин, цитизин), тонизирующих средств (в том числе корень женьшеня, элеутерококка колючего корневища и корни экстракт, родиолы эктракт) и Андипала уменьшает гипотензивный эффект последнего.</w:t>
      </w:r>
    </w:p>
    <w:p w:rsidR="009D04A3" w:rsidRDefault="00D80438">
      <w:pPr>
        <w:spacing w:line="360" w:lineRule="auto"/>
        <w:jc w:val="both"/>
      </w:pPr>
      <w:r>
        <w:rPr>
          <w:i/>
        </w:rPr>
        <w:t>Фармакокинетическое:</w:t>
      </w:r>
      <w:r>
        <w:t xml:space="preserve"> сочетание применения адсорбентов (активированный уголь), вяжущих и обволакивающих средств снижает всасывание препарата в желудочно-кишечном тракте.</w:t>
      </w:r>
    </w:p>
    <w:p w:rsidR="009D04A3" w:rsidRDefault="00D80438">
      <w:pPr>
        <w:spacing w:line="360" w:lineRule="auto"/>
        <w:jc w:val="both"/>
      </w:pPr>
      <w:r>
        <w:rPr>
          <w:i/>
        </w:rPr>
        <w:t>Бендазол</w:t>
      </w:r>
      <w:r>
        <w:t xml:space="preserve"> предупреждает обусловленное бета-адреноблокаторами увеличение общего периферического сосудистого сопротивления. Фентоламин усиливает гипотензивное действие бендазола.</w:t>
      </w:r>
    </w:p>
    <w:p w:rsidR="009D04A3" w:rsidRDefault="00D80438">
      <w:pPr>
        <w:spacing w:line="360" w:lineRule="auto"/>
        <w:jc w:val="both"/>
      </w:pPr>
      <w:r>
        <w:rPr>
          <w:i/>
        </w:rPr>
        <w:t>Папаверин</w:t>
      </w:r>
      <w:r>
        <w:t xml:space="preserve"> снижает противопаркинсонический эффект леводопы и гипотензивный эффект метилдопы. В комбинации с барбитуратами спазмолитическое действие папаверина усиливается. При совместном применении с трициклическими антидепрессантами, прокаинамидом, резерпином, хинидином возможно усиление гипотензивного эффекта папаверина. В сочетании с алпростадилом усиливается риск развития приапизма.</w:t>
      </w:r>
    </w:p>
    <w:p w:rsidR="009D04A3" w:rsidRDefault="00D80438">
      <w:pPr>
        <w:spacing w:line="360" w:lineRule="auto"/>
        <w:jc w:val="both"/>
      </w:pPr>
      <w:r>
        <w:rPr>
          <w:i/>
        </w:rPr>
        <w:lastRenderedPageBreak/>
        <w:t>Фенобарбитал</w:t>
      </w:r>
      <w:r>
        <w:t xml:space="preserve"> снижает антибактериальную активность антибиотиков и сульфаниламидов, противогрибковое действие гризеофульвина. Снижает эффективность непрямых антикоагулянтов, глюкокортикостероидов, доксициклина, эстрогенов и других лекарственных средств, метаболизирующихся в печени по пути окисления (ускоряет их разрушение). Снотворное действие снижается при одновременном приеме атропина, экстракта красавки, декстрозы, тиамина, никотиновой кислоты, аналептиков и психостимулирующих лекарственных средств. При сочетании с резерпином уменьшается противосудорожное действие, под влиянием амитриптилина, ниаламида, диазепама, хлордиазепоксида - усиливается. Ацетазоламид, ощелачивая мочу, снижает реабсорбцию фенобарбитала в почках и ослабляет его эффект.</w:t>
      </w:r>
    </w:p>
    <w:p w:rsidR="009D04A3" w:rsidRDefault="00D80438">
      <w:pPr>
        <w:spacing w:line="360" w:lineRule="auto"/>
        <w:jc w:val="both"/>
        <w:rPr>
          <w:i/>
        </w:rPr>
      </w:pPr>
      <w:r>
        <w:rPr>
          <w:i/>
        </w:rPr>
        <w:t>Метамизол натрия</w:t>
      </w:r>
    </w:p>
    <w:p w:rsidR="009D04A3" w:rsidRDefault="00D80438">
      <w:pPr>
        <w:spacing w:line="360" w:lineRule="auto"/>
        <w:jc w:val="both"/>
      </w:pPr>
      <w:r>
        <w:rPr>
          <w:i/>
        </w:rPr>
        <w:t>С циклоспорином:</w:t>
      </w:r>
      <w:r>
        <w:t xml:space="preserve"> метамизол натрия может вызывать снижение плазменной концентрации циклоспорина, поэтому при их одновременном применении следует контролировать концентрацию циклоспорина.</w:t>
      </w:r>
    </w:p>
    <w:p w:rsidR="009D04A3" w:rsidRDefault="00D80438">
      <w:pPr>
        <w:spacing w:line="360" w:lineRule="auto"/>
        <w:jc w:val="both"/>
      </w:pPr>
      <w:r>
        <w:rPr>
          <w:i/>
        </w:rPr>
        <w:t>С хлорпромазином:</w:t>
      </w:r>
      <w:r>
        <w:t xml:space="preserve"> при одновременном применении метамизола натрия и хлорпромазина возможно развитие тяжелой гипотермии.</w:t>
      </w:r>
    </w:p>
    <w:p w:rsidR="009D04A3" w:rsidRDefault="00D80438">
      <w:pPr>
        <w:spacing w:line="360" w:lineRule="auto"/>
        <w:jc w:val="both"/>
      </w:pPr>
      <w:r>
        <w:rPr>
          <w:i/>
        </w:rPr>
        <w:t xml:space="preserve">С метотрексатом: </w:t>
      </w:r>
      <w:r>
        <w:t>одновременное применение метамизола натрия и метотрексата или других миелотоксичных средств может усиливать гематотоксичность последнего, особенн</w:t>
      </w:r>
      <w:bookmarkStart w:id="1" w:name="page7"/>
      <w:bookmarkEnd w:id="1"/>
      <w:r>
        <w:t>о у пациентов пожилого возраста. Поэтому такую комбинацию следует избегать.</w:t>
      </w:r>
    </w:p>
    <w:p w:rsidR="009D04A3" w:rsidRDefault="00D80438">
      <w:pPr>
        <w:spacing w:line="360" w:lineRule="auto"/>
        <w:jc w:val="both"/>
      </w:pPr>
      <w:r>
        <w:rPr>
          <w:i/>
        </w:rPr>
        <w:t>С другими ненаркотическими анальгезирующими средствами:</w:t>
      </w:r>
      <w:r>
        <w:t xml:space="preserve"> одновременное применение метамизола натрия с другими ненаркотическими анальгезирующими средствами может привести к взаимному усилению токсических эффектов.</w:t>
      </w:r>
    </w:p>
    <w:p w:rsidR="009D04A3" w:rsidRDefault="00D80438">
      <w:pPr>
        <w:spacing w:line="360" w:lineRule="auto"/>
        <w:jc w:val="both"/>
      </w:pPr>
      <w:r>
        <w:rPr>
          <w:i/>
        </w:rPr>
        <w:t>С трициклическими антидепрессантами, пероральными контрацептивами, аллопуринолом:</w:t>
      </w:r>
      <w:r>
        <w:t xml:space="preserve"> трициклические антидепрессанты, пероральные контрацептивы, аллопуринол нарушают метаболизм метамизола натрия в печени и повышают его токсичность.</w:t>
      </w:r>
    </w:p>
    <w:p w:rsidR="009D04A3" w:rsidRDefault="00D80438">
      <w:pPr>
        <w:spacing w:line="360" w:lineRule="auto"/>
        <w:jc w:val="both"/>
      </w:pPr>
      <w:r>
        <w:rPr>
          <w:i/>
        </w:rPr>
        <w:t>С барбитуратами, фенилбутазоном и другими индукторами микросомалъных ферментов печени:</w:t>
      </w:r>
      <w:r>
        <w:t xml:space="preserve"> барбитураты, фенилбутазон и другие индукторы микросомальных ферментов печени ослабляют действие метамизола натрия.</w:t>
      </w:r>
    </w:p>
    <w:p w:rsidR="009D04A3" w:rsidRDefault="00D80438">
      <w:pPr>
        <w:spacing w:line="360" w:lineRule="auto"/>
        <w:jc w:val="both"/>
      </w:pPr>
      <w:r>
        <w:rPr>
          <w:i/>
        </w:rPr>
        <w:t>С седативными средствами и транквилизаторами:</w:t>
      </w:r>
      <w:r>
        <w:t xml:space="preserve"> седативные средства и транквилизаторы усиливают обезболивающее действие метамизола натрия.</w:t>
      </w:r>
    </w:p>
    <w:p w:rsidR="009D04A3" w:rsidRDefault="00D80438">
      <w:pPr>
        <w:spacing w:line="360" w:lineRule="auto"/>
        <w:jc w:val="both"/>
      </w:pPr>
      <w:r>
        <w:rPr>
          <w:i/>
        </w:rPr>
        <w:t>С лекарственными средствами, имеющими высокую связь с белками плазмы (пероральные гипогликемические средства, непрямые антикоагулянты, глюкокортикостероиды и индометацин):</w:t>
      </w:r>
      <w:r>
        <w:t xml:space="preserve"> метамизол натрия, вытесняя из связи с белками плазмы пероральные </w:t>
      </w:r>
      <w:r>
        <w:lastRenderedPageBreak/>
        <w:t>гипогликемические средства, непрямые антикоагулянты, глюкокортикостероиды и индометацин, увеличивает их активность.</w:t>
      </w:r>
    </w:p>
    <w:p w:rsidR="009D04A3" w:rsidRDefault="00D80438">
      <w:pPr>
        <w:spacing w:line="360" w:lineRule="auto"/>
        <w:jc w:val="both"/>
      </w:pPr>
      <w:r>
        <w:rPr>
          <w:i/>
        </w:rPr>
        <w:t>С тимазолом:</w:t>
      </w:r>
      <w:r>
        <w:t xml:space="preserve"> тимазол повышает риск развития лейкопении.</w:t>
      </w:r>
    </w:p>
    <w:p w:rsidR="009D04A3" w:rsidRDefault="00D80438">
      <w:pPr>
        <w:spacing w:line="360" w:lineRule="auto"/>
        <w:jc w:val="both"/>
      </w:pPr>
      <w:r>
        <w:rPr>
          <w:i/>
        </w:rPr>
        <w:t>С кодеином, блокаторами Н2-гистаминовых рецепторов и пропранололом:</w:t>
      </w:r>
      <w:r>
        <w:t xml:space="preserve"> кодеин, блокаторы Н2-гистаминовых рецепторов и пропранолол усиливают эффекты метамизола натрия.</w:t>
      </w:r>
    </w:p>
    <w:p w:rsidR="009D04A3" w:rsidRDefault="00D80438">
      <w:pPr>
        <w:spacing w:line="360" w:lineRule="auto"/>
        <w:jc w:val="both"/>
      </w:pPr>
      <w:r>
        <w:rPr>
          <w:i/>
        </w:rPr>
        <w:t>С ацетилсалициловой кислотой (АСК):</w:t>
      </w:r>
      <w:r>
        <w:t xml:space="preserve"> при одновременном применении метамизола натрия может уменьшать влияние АСК на агрегацию тромбоцитов. Поэтому данную комбинацию следует применять с осторожностью при лечении пациентов, принимающих АСК в качестве антиагрегантного средства.</w:t>
      </w:r>
    </w:p>
    <w:p w:rsidR="009D04A3" w:rsidRDefault="00D80438">
      <w:pPr>
        <w:spacing w:line="360" w:lineRule="auto"/>
        <w:jc w:val="both"/>
      </w:pPr>
      <w:r>
        <w:rPr>
          <w:i/>
        </w:rPr>
        <w:t>С бупропионом:</w:t>
      </w:r>
      <w:r>
        <w:t xml:space="preserve"> метамизол натрия может снижать концентрацию бупропиона в крови, что следует принимать во внимание при одновременном их применении.</w:t>
      </w:r>
    </w:p>
    <w:p w:rsidR="009D04A3" w:rsidRDefault="00D80438">
      <w:pPr>
        <w:spacing w:line="360" w:lineRule="auto"/>
        <w:jc w:val="both"/>
      </w:pPr>
      <w:r>
        <w:rPr>
          <w:i/>
        </w:rPr>
        <w:t>С другими лекарственными препаратами:</w:t>
      </w:r>
      <w:r>
        <w:t xml:space="preserve"> хорошо известно, что производные пиразолона могут взаимодействовать с непрямыми антикоагулянтами, каптоприлом, литием и триамтереном, а также влиять на эффективность гипотензивных средств и диуретиков. Лекарственное взаимодействие метамизола натрия с этими лекарственными препаратами пока не изучено.</w:t>
      </w:r>
    </w:p>
    <w:p w:rsidR="009D04A3" w:rsidRDefault="00D80438">
      <w:pPr>
        <w:spacing w:after="160" w:line="360" w:lineRule="auto"/>
        <w:jc w:val="both"/>
      </w:pPr>
      <w:r>
        <w:t>Ввиду повышенного риска развития анафилактических/анафилактоидных реакций во время лечения метамизолом натрия не следует применять рентгеноконтрастные вещества, колло</w:t>
      </w:r>
      <w:bookmarkStart w:id="2" w:name="page8"/>
      <w:bookmarkEnd w:id="2"/>
      <w:r>
        <w:t>идные кровезаменители и пенициллин.</w:t>
      </w:r>
    </w:p>
    <w:p w:rsidR="009D04A3" w:rsidRDefault="00D80438">
      <w:pPr>
        <w:spacing w:line="360" w:lineRule="auto"/>
        <w:jc w:val="both"/>
        <w:rPr>
          <w:b/>
        </w:rPr>
      </w:pPr>
      <w:r>
        <w:rPr>
          <w:b/>
        </w:rPr>
        <w:t xml:space="preserve">Особые указания </w:t>
      </w:r>
    </w:p>
    <w:p w:rsidR="009D04A3" w:rsidRDefault="00D80438">
      <w:pPr>
        <w:spacing w:line="360" w:lineRule="auto"/>
        <w:jc w:val="both"/>
      </w:pPr>
      <w:r>
        <w:t>При отсутствии эффекта в течение 3-х дней следует прекратить прием препарата и обратиться к врачу.</w:t>
      </w:r>
    </w:p>
    <w:p w:rsidR="009D04A3" w:rsidRDefault="00D80438">
      <w:pPr>
        <w:spacing w:line="360" w:lineRule="auto"/>
        <w:jc w:val="both"/>
      </w:pPr>
      <w:r>
        <w:t>Пациенты, у которых в ответ на применение метамизола натрия возникают анафилактические или другие иммуноопосредованные реакции (например, агранулоцитоз), также подвержены риску их развития в ответ на применение других пиразолонов и пиразолидонов.</w:t>
      </w:r>
    </w:p>
    <w:p w:rsidR="009D04A3" w:rsidRDefault="00D80438">
      <w:pPr>
        <w:spacing w:line="360" w:lineRule="auto"/>
        <w:jc w:val="both"/>
        <w:rPr>
          <w:i/>
        </w:rPr>
      </w:pPr>
      <w:r>
        <w:rPr>
          <w:i/>
        </w:rPr>
        <w:t>Панцитопения, агранулоцитоз</w:t>
      </w:r>
    </w:p>
    <w:p w:rsidR="009D04A3" w:rsidRDefault="00D80438">
      <w:pPr>
        <w:spacing w:line="360" w:lineRule="auto"/>
        <w:jc w:val="both"/>
      </w:pPr>
      <w:r>
        <w:t>При развитии панцитопении и агранулоцитоза препарат необходимо немедленно отменить и контролировать общий анализ крови до возвращения его показателей к норме. Всем пациентам следует рекомендовать немедленно обращаться за медицинской помощью при возникновении в ходе лечения признаков и симптомов, напоминающих нарушения со стороны крови (например, общая слабость, инфекции, стойкая лихорадка, появление гематом, кровотечение, бледность).</w:t>
      </w:r>
    </w:p>
    <w:p w:rsidR="009D04A3" w:rsidRDefault="009D04A3">
      <w:pPr>
        <w:spacing w:line="360" w:lineRule="auto"/>
        <w:jc w:val="both"/>
      </w:pPr>
    </w:p>
    <w:p w:rsidR="009D04A3" w:rsidRDefault="00D80438">
      <w:pPr>
        <w:spacing w:line="360" w:lineRule="auto"/>
        <w:jc w:val="both"/>
        <w:rPr>
          <w:i/>
        </w:rPr>
      </w:pPr>
      <w:r>
        <w:rPr>
          <w:i/>
        </w:rPr>
        <w:lastRenderedPageBreak/>
        <w:t>Анафилактические/анафилактоидные реакции</w:t>
      </w:r>
    </w:p>
    <w:p w:rsidR="009D04A3" w:rsidRDefault="00D80438">
      <w:pPr>
        <w:spacing w:line="360" w:lineRule="auto"/>
        <w:jc w:val="both"/>
      </w:pPr>
      <w:r>
        <w:t>Повышенный риск развития реакций гиперчувствительности на метамизол натрия обуславливают следующие состояния:</w:t>
      </w:r>
    </w:p>
    <w:p w:rsidR="009D04A3" w:rsidRDefault="00D80438">
      <w:pPr>
        <w:numPr>
          <w:ilvl w:val="0"/>
          <w:numId w:val="1"/>
        </w:numPr>
        <w:spacing w:line="360" w:lineRule="auto"/>
        <w:jc w:val="both"/>
      </w:pPr>
      <w:r>
        <w:t>анальгетическая бронхиальная астма или непереносимость анальгетиков (по типу крапивница-ангионевротический отек);</w:t>
      </w:r>
    </w:p>
    <w:p w:rsidR="009D04A3" w:rsidRDefault="00D80438">
      <w:pPr>
        <w:numPr>
          <w:ilvl w:val="0"/>
          <w:numId w:val="1"/>
        </w:numPr>
        <w:spacing w:line="360" w:lineRule="auto"/>
        <w:jc w:val="both"/>
      </w:pPr>
      <w:r>
        <w:t>бронхиальная астма, особенно сопровождающаяся риносинуситом и полипозом носа;</w:t>
      </w:r>
    </w:p>
    <w:p w:rsidR="009D04A3" w:rsidRDefault="00D80438">
      <w:pPr>
        <w:numPr>
          <w:ilvl w:val="0"/>
          <w:numId w:val="1"/>
        </w:numPr>
        <w:spacing w:line="360" w:lineRule="auto"/>
        <w:jc w:val="both"/>
      </w:pPr>
      <w:r>
        <w:t>хроническая крапивница;</w:t>
      </w:r>
    </w:p>
    <w:p w:rsidR="009D04A3" w:rsidRDefault="00D80438">
      <w:pPr>
        <w:numPr>
          <w:ilvl w:val="0"/>
          <w:numId w:val="1"/>
        </w:numPr>
        <w:spacing w:line="360" w:lineRule="auto"/>
        <w:jc w:val="both"/>
      </w:pPr>
      <w:r>
        <w:t>непереносимость красителей (например, тартразина), консервантов (например, бензоатов);</w:t>
      </w:r>
    </w:p>
    <w:p w:rsidR="009D04A3" w:rsidRDefault="00D80438">
      <w:pPr>
        <w:numPr>
          <w:ilvl w:val="0"/>
          <w:numId w:val="1"/>
        </w:numPr>
        <w:spacing w:line="360" w:lineRule="auto"/>
        <w:jc w:val="both"/>
      </w:pPr>
      <w:r>
        <w:t>непереносимость алкоголя.</w:t>
      </w:r>
    </w:p>
    <w:p w:rsidR="009D04A3" w:rsidRDefault="00D80438">
      <w:pPr>
        <w:spacing w:line="360" w:lineRule="auto"/>
        <w:jc w:val="both"/>
        <w:rPr>
          <w:i/>
        </w:rPr>
      </w:pPr>
      <w:r>
        <w:rPr>
          <w:i/>
        </w:rPr>
        <w:t>Тяжелые кожные реакции</w:t>
      </w:r>
    </w:p>
    <w:p w:rsidR="009D04A3" w:rsidRDefault="00D80438">
      <w:pPr>
        <w:spacing w:line="360" w:lineRule="auto"/>
        <w:jc w:val="both"/>
      </w:pPr>
      <w:r>
        <w:t>Синдром Стивенса-Джонсона (ССД) и токсический эпидермальный некролиз (ТЭН). При появлении признаков ССД или ТЭН (таких как прогрессирующая кожная сыпь, часто сопровождаемая волдырями или изъязвлением слизистой оболочки) лечение метамизолом натрия следует немедленно прекратить и никогда его не возобновлять.</w:t>
      </w:r>
    </w:p>
    <w:p w:rsidR="009D04A3" w:rsidRDefault="00D80438">
      <w:pPr>
        <w:spacing w:line="360" w:lineRule="auto"/>
        <w:jc w:val="both"/>
      </w:pPr>
      <w:r>
        <w:t>Следует тщательно контролировать кожные реакции, особенно в начале лечения.</w:t>
      </w:r>
    </w:p>
    <w:p w:rsidR="009D04A3" w:rsidRDefault="00D80438">
      <w:pPr>
        <w:spacing w:line="360" w:lineRule="auto"/>
        <w:jc w:val="both"/>
        <w:rPr>
          <w:i/>
        </w:rPr>
      </w:pPr>
      <w:r>
        <w:rPr>
          <w:i/>
        </w:rPr>
        <w:t>Изолированные гипотензивные реакции</w:t>
      </w:r>
    </w:p>
    <w:p w:rsidR="009D04A3" w:rsidRDefault="00D80438">
      <w:pPr>
        <w:spacing w:line="360" w:lineRule="auto"/>
        <w:jc w:val="both"/>
      </w:pPr>
      <w:r>
        <w:t>Эти реакции могут носить дозозависимый характер. Риск таких реакций повышен при: предшествующей артериальной гипотензии, снижении объема циркулирующей крови или</w:t>
      </w:r>
      <w:bookmarkStart w:id="3" w:name="page9"/>
      <w:bookmarkEnd w:id="3"/>
      <w:r>
        <w:t xml:space="preserve"> дегидратации, нестабильной гемодинамике или остром нарушении кровообращения (например, у пациентов с инфарктом миокарда или травмой), у пациентов с высокой лихорадкой.</w:t>
      </w:r>
    </w:p>
    <w:p w:rsidR="009D04A3" w:rsidRDefault="00D80438">
      <w:pPr>
        <w:spacing w:line="360" w:lineRule="auto"/>
        <w:jc w:val="both"/>
      </w:pPr>
      <w:r>
        <w:t>У таких пациентов следует проводить подробную диагностику и устанавливать за ними тщательное наблюдение.</w:t>
      </w:r>
    </w:p>
    <w:p w:rsidR="009D04A3" w:rsidRDefault="00D80438">
      <w:pPr>
        <w:spacing w:line="360" w:lineRule="auto"/>
        <w:jc w:val="both"/>
      </w:pPr>
      <w:r>
        <w:t>У пациентов, у которых снижение артериального давления следует избегать любой ценой, метамизол натрия допускается применять лишь при тщательном наблюдении за гемодинамическими параметрами.</w:t>
      </w:r>
    </w:p>
    <w:p w:rsidR="009D04A3" w:rsidRDefault="00D80438">
      <w:pPr>
        <w:spacing w:line="360" w:lineRule="auto"/>
        <w:jc w:val="both"/>
        <w:rPr>
          <w:i/>
        </w:rPr>
      </w:pPr>
      <w:r>
        <w:rPr>
          <w:i/>
        </w:rPr>
        <w:t>Боль в животе</w:t>
      </w:r>
    </w:p>
    <w:p w:rsidR="009D04A3" w:rsidRDefault="00D80438">
      <w:pPr>
        <w:spacing w:line="360" w:lineRule="auto"/>
        <w:jc w:val="both"/>
      </w:pPr>
      <w:r>
        <w:t>Недопустимо применение препарата для снятия острых болей в животе (до выяснения их причины).</w:t>
      </w:r>
    </w:p>
    <w:p w:rsidR="009D04A3" w:rsidRDefault="00D80438">
      <w:pPr>
        <w:spacing w:line="360" w:lineRule="auto"/>
        <w:jc w:val="both"/>
        <w:rPr>
          <w:i/>
        </w:rPr>
      </w:pPr>
      <w:r>
        <w:rPr>
          <w:i/>
        </w:rPr>
        <w:t>Нарушение функции почек или печени</w:t>
      </w:r>
    </w:p>
    <w:p w:rsidR="009D04A3" w:rsidRDefault="00D80438">
      <w:pPr>
        <w:spacing w:line="360" w:lineRule="auto"/>
        <w:jc w:val="both"/>
      </w:pPr>
      <w:r>
        <w:t>У пациентов с нарушением функции почек или печени применять метамизол натрия допускается лишь при строгой оценке пользы и рисков, соблюдая все необходимые меры предосторожности.</w:t>
      </w:r>
    </w:p>
    <w:p w:rsidR="009D04A3" w:rsidRDefault="00D80438">
      <w:pPr>
        <w:spacing w:line="360" w:lineRule="auto"/>
        <w:jc w:val="both"/>
        <w:rPr>
          <w:b/>
        </w:rPr>
      </w:pPr>
      <w:r>
        <w:rPr>
          <w:b/>
        </w:rPr>
        <w:lastRenderedPageBreak/>
        <w:t>Влияние лекарственного препарата на способность управлять транспортными средствами и механизмами</w:t>
      </w:r>
    </w:p>
    <w:p w:rsidR="009D04A3" w:rsidRDefault="00D80438">
      <w:pPr>
        <w:spacing w:after="160" w:line="360" w:lineRule="auto"/>
        <w:jc w:val="both"/>
      </w:pPr>
      <w:r>
        <w:t>В период лечения необходимо воздерживаться от занятий потенциально опасными видами деятельности, требующими повышенной концентрации внимания и быстроты психомоторных реакций.</w:t>
      </w:r>
    </w:p>
    <w:p w:rsidR="009D04A3" w:rsidRDefault="00D80438">
      <w:pPr>
        <w:spacing w:line="360" w:lineRule="auto"/>
        <w:jc w:val="both"/>
        <w:rPr>
          <w:b/>
        </w:rPr>
      </w:pPr>
      <w:r>
        <w:rPr>
          <w:b/>
        </w:rPr>
        <w:t>Форма выпуска</w:t>
      </w:r>
    </w:p>
    <w:p w:rsidR="009D04A3" w:rsidRDefault="00D80438">
      <w:pPr>
        <w:spacing w:line="360" w:lineRule="auto"/>
        <w:ind w:right="57"/>
        <w:jc w:val="both"/>
      </w:pPr>
      <w:r>
        <w:t>Таблетки.</w:t>
      </w:r>
    </w:p>
    <w:p w:rsidR="009D04A3" w:rsidRDefault="00D80438">
      <w:pPr>
        <w:spacing w:line="360" w:lineRule="auto"/>
        <w:ind w:right="57"/>
        <w:jc w:val="both"/>
      </w:pPr>
      <w:r>
        <w:t>По 10 таблеток в контурную безъячейковую упаковку из бумаги с полимерным покрытием.</w:t>
      </w:r>
    </w:p>
    <w:p w:rsidR="009D04A3" w:rsidRDefault="00D80438">
      <w:pPr>
        <w:spacing w:line="360" w:lineRule="auto"/>
        <w:ind w:right="57"/>
        <w:jc w:val="both"/>
      </w:pPr>
      <w:r>
        <w:t>По 10 таблеток в контурную ячейковую упаковку из поливинилхлоридной пленки и фольги алюминиевой печатной лакированной.</w:t>
      </w:r>
    </w:p>
    <w:p w:rsidR="009D04A3" w:rsidRDefault="00D80438">
      <w:pPr>
        <w:spacing w:line="360" w:lineRule="auto"/>
        <w:ind w:right="57"/>
        <w:jc w:val="both"/>
      </w:pPr>
      <w:r>
        <w:t>1, 2, 3 или 5 контурных ячейковых или контурных безъячейковых упаковки вместе с инструкцией по применению помещают в картонную пачку.</w:t>
      </w:r>
    </w:p>
    <w:p w:rsidR="009D04A3" w:rsidRDefault="00D80438">
      <w:pPr>
        <w:spacing w:after="160" w:line="360" w:lineRule="auto"/>
        <w:jc w:val="both"/>
      </w:pPr>
      <w:r>
        <w:t>200, 400, 500, 600, 1000 контурных безъячейковых упаковок с равным количеством инструкций по применению помещают в коробку из картона, на коробку наклеивают этикетку (Для стационаров).</w:t>
      </w:r>
    </w:p>
    <w:p w:rsidR="009D04A3" w:rsidRDefault="00D80438">
      <w:pPr>
        <w:spacing w:line="360" w:lineRule="auto"/>
        <w:jc w:val="both"/>
        <w:rPr>
          <w:b/>
        </w:rPr>
      </w:pPr>
      <w:r>
        <w:rPr>
          <w:b/>
        </w:rPr>
        <w:t>Условия хранения</w:t>
      </w:r>
    </w:p>
    <w:p w:rsidR="009D04A3" w:rsidRDefault="00D80438">
      <w:pPr>
        <w:spacing w:line="360" w:lineRule="auto"/>
        <w:jc w:val="both"/>
      </w:pPr>
      <w:r>
        <w:t>В защищенном от света месте, при температуре не выше 25 °С.</w:t>
      </w:r>
    </w:p>
    <w:p w:rsidR="009D04A3" w:rsidRDefault="00D80438">
      <w:pPr>
        <w:spacing w:line="360" w:lineRule="auto"/>
        <w:jc w:val="both"/>
      </w:pPr>
      <w:r>
        <w:t>Хранить в недоступном для детей месте.</w:t>
      </w:r>
    </w:p>
    <w:p w:rsidR="009D04A3" w:rsidRDefault="00D80438">
      <w:pPr>
        <w:spacing w:after="159" w:line="360" w:lineRule="auto"/>
        <w:jc w:val="both"/>
      </w:pPr>
      <w:bookmarkStart w:id="4" w:name="__DdeLink__323_1205331575"/>
      <w:bookmarkEnd w:id="4"/>
      <w:r>
        <w:t>Препарат относится к Перечню лекарственных средств для медицинского применения, подлежащих предметно-количественному учету.</w:t>
      </w:r>
    </w:p>
    <w:p w:rsidR="009D04A3" w:rsidRDefault="00D80438">
      <w:pPr>
        <w:spacing w:line="360" w:lineRule="auto"/>
        <w:jc w:val="both"/>
        <w:rPr>
          <w:b/>
        </w:rPr>
      </w:pPr>
      <w:r>
        <w:rPr>
          <w:b/>
        </w:rPr>
        <w:t>Срок годности</w:t>
      </w:r>
    </w:p>
    <w:p w:rsidR="009D04A3" w:rsidRDefault="00D80438">
      <w:pPr>
        <w:spacing w:after="160" w:line="360" w:lineRule="auto"/>
        <w:jc w:val="both"/>
      </w:pPr>
      <w:r>
        <w:t>4 года. Не применять препарат после истечения срока годности.</w:t>
      </w:r>
    </w:p>
    <w:p w:rsidR="009D04A3" w:rsidRDefault="00D80438">
      <w:pPr>
        <w:spacing w:line="360" w:lineRule="auto"/>
        <w:jc w:val="both"/>
      </w:pPr>
      <w:r>
        <w:rPr>
          <w:b/>
        </w:rPr>
        <w:t>Условия отпуска</w:t>
      </w:r>
    </w:p>
    <w:p w:rsidR="009D04A3" w:rsidRDefault="00D80438">
      <w:pPr>
        <w:spacing w:line="360" w:lineRule="auto"/>
        <w:jc w:val="both"/>
      </w:pPr>
      <w:r>
        <w:t>Отпускают без рецепта.</w:t>
      </w:r>
    </w:p>
    <w:p w:rsidR="009D04A3" w:rsidRDefault="00D80438">
      <w:pPr>
        <w:spacing w:after="159" w:line="360" w:lineRule="auto"/>
        <w:jc w:val="both"/>
      </w:pPr>
      <w:r>
        <w:t>Препарат относится к Перечню лекарственных средств для медицинского применения, подлежащих предметно-количественному учету.</w:t>
      </w:r>
    </w:p>
    <w:p w:rsidR="009D04A3" w:rsidRDefault="000504E7">
      <w:pPr>
        <w:spacing w:line="360" w:lineRule="auto"/>
        <w:jc w:val="both"/>
        <w:rPr>
          <w:b/>
        </w:rPr>
      </w:pPr>
      <w:r>
        <w:rPr>
          <w:b/>
        </w:rPr>
        <w:t>Производитель/О</w:t>
      </w:r>
      <w:r w:rsidR="00D80438">
        <w:rPr>
          <w:b/>
        </w:rPr>
        <w:t>рганизация, принимающая претензии</w:t>
      </w:r>
    </w:p>
    <w:p w:rsidR="009D04A3" w:rsidRDefault="00D80438">
      <w:pPr>
        <w:spacing w:line="360" w:lineRule="auto"/>
        <w:jc w:val="both"/>
      </w:pPr>
      <w:r>
        <w:t>АО «Усолье-Сибирский химфармзавод»</w:t>
      </w:r>
      <w:r w:rsidR="000504E7">
        <w:t>,</w:t>
      </w:r>
    </w:p>
    <w:p w:rsidR="009D04A3" w:rsidRDefault="00D80438">
      <w:pPr>
        <w:spacing w:line="360" w:lineRule="auto"/>
        <w:jc w:val="both"/>
      </w:pPr>
      <w:r>
        <w:t>Россия, 665462</w:t>
      </w:r>
      <w:r w:rsidR="0042012B">
        <w:t>,</w:t>
      </w:r>
      <w:bookmarkStart w:id="5" w:name="_GoBack"/>
      <w:bookmarkEnd w:id="5"/>
      <w:r>
        <w:t xml:space="preserve"> Иркутская область, г. Усолье-Сибирское, северо-западная часть города, с северо-восточной стороны, в 115 м от Прибайкальской автодороги.</w:t>
      </w:r>
    </w:p>
    <w:p w:rsidR="009D04A3" w:rsidRDefault="00D80438">
      <w:pPr>
        <w:spacing w:line="360" w:lineRule="auto"/>
        <w:jc w:val="both"/>
      </w:pPr>
      <w:r>
        <w:t>тел./факс: +7 (39543) 58910, +7 (39543) 58908</w:t>
      </w:r>
    </w:p>
    <w:sectPr w:rsidR="009D04A3">
      <w:headerReference w:type="default" r:id="rId8"/>
      <w:pgSz w:w="11906" w:h="16838"/>
      <w:pgMar w:top="1134" w:right="850" w:bottom="1134" w:left="1701" w:header="709" w:footer="0"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53B" w:rsidRDefault="00DF353B">
      <w:r>
        <w:separator/>
      </w:r>
    </w:p>
  </w:endnote>
  <w:endnote w:type="continuationSeparator" w:id="0">
    <w:p w:rsidR="00DF353B" w:rsidRDefault="00DF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53B" w:rsidRDefault="00DF353B">
      <w:r>
        <w:separator/>
      </w:r>
    </w:p>
  </w:footnote>
  <w:footnote w:type="continuationSeparator" w:id="0">
    <w:p w:rsidR="00DF353B" w:rsidRDefault="00DF3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A3" w:rsidRDefault="00DF353B">
    <w:r>
      <w:rPr>
        <w:noProof/>
      </w:rPr>
      <w:pict>
        <v:rect id="Врезка1" o:spid="_x0000_s2049" style="position:absolute;margin-left:-50pt;margin-top:.05pt;width:26.2pt;height:13.75pt;z-index:-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" filled="f" stroked="f">
          <v:textbox style="mso-fit-shape-to-text:t" inset="0,0,0,0">
            <w:txbxContent>
              <w:p w:rsidR="009D04A3" w:rsidRDefault="00D80438">
                <w:pPr>
                  <w:pStyle w:val="af"/>
                </w:pPr>
                <w:r>
                  <w:rPr>
                    <w:rStyle w:val="a3"/>
                  </w:rPr>
                  <w:t xml:space="preserve">С. </w:t>
                </w:r>
                <w:r>
                  <w:rPr>
                    <w:rStyle w:val="a3"/>
                  </w:rPr>
                  <w:fldChar w:fldCharType="begin"/>
                </w:r>
                <w:r>
                  <w:instrText>PAGE</w:instrText>
                </w:r>
                <w:r>
                  <w:fldChar w:fldCharType="separate"/>
                </w:r>
                <w:r w:rsidR="0042012B">
                  <w:rPr>
                    <w:noProof/>
                  </w:rPr>
                  <w:t>12</w:t>
                </w:r>
                <w:r>
                  <w:fldChar w:fldCharType="end"/>
                </w:r>
              </w:p>
            </w:txbxContent>
          </v:textbox>
          <w10:wrap type="square" side="largest" anchorx="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92B59"/>
    <w:multiLevelType w:val="multilevel"/>
    <w:tmpl w:val="79A29C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982538D"/>
    <w:multiLevelType w:val="multilevel"/>
    <w:tmpl w:val="3BB4BA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4A3"/>
    <w:rsid w:val="000504E7"/>
    <w:rsid w:val="00264BE4"/>
    <w:rsid w:val="0042012B"/>
    <w:rsid w:val="009D04A3"/>
    <w:rsid w:val="00D80438"/>
    <w:rsid w:val="00DF353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332B7E6-D19A-4B57-8A75-771146FF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091B06"/>
  </w:style>
  <w:style w:type="character" w:customStyle="1" w:styleId="FontStyle12">
    <w:name w:val="Font Style12"/>
    <w:qFormat/>
    <w:rsid w:val="00F163DE"/>
    <w:rPr>
      <w:rFonts w:ascii="Times New Roman" w:hAnsi="Times New Roman" w:cs="Times New Roman"/>
      <w:b/>
      <w:bCs/>
      <w:sz w:val="22"/>
      <w:szCs w:val="22"/>
    </w:rPr>
  </w:style>
  <w:style w:type="character" w:customStyle="1" w:styleId="FontStyle15">
    <w:name w:val="Font Style15"/>
    <w:qFormat/>
    <w:rsid w:val="00F163DE"/>
    <w:rPr>
      <w:rFonts w:ascii="Times New Roman" w:hAnsi="Times New Roman" w:cs="Times New Roman"/>
      <w:b/>
      <w:bCs/>
      <w:sz w:val="22"/>
      <w:szCs w:val="22"/>
    </w:rPr>
  </w:style>
  <w:style w:type="character" w:customStyle="1" w:styleId="-">
    <w:name w:val="Интернет-ссылка"/>
    <w:rsid w:val="00015CC4"/>
    <w:rPr>
      <w:color w:val="0000FF"/>
      <w:u w:val="single"/>
    </w:rPr>
  </w:style>
  <w:style w:type="character" w:styleId="a4">
    <w:name w:val="annotation reference"/>
    <w:qFormat/>
    <w:rsid w:val="008549FB"/>
    <w:rPr>
      <w:sz w:val="16"/>
      <w:szCs w:val="16"/>
    </w:rPr>
  </w:style>
  <w:style w:type="character" w:customStyle="1" w:styleId="a5">
    <w:name w:val="Текст примечания Знак"/>
    <w:basedOn w:val="a0"/>
    <w:qFormat/>
    <w:rsid w:val="008549FB"/>
  </w:style>
  <w:style w:type="character" w:customStyle="1" w:styleId="a6">
    <w:name w:val="Тема примечания Знак"/>
    <w:qFormat/>
    <w:rsid w:val="008549FB"/>
    <w:rPr>
      <w:b/>
      <w:bCs/>
    </w:rPr>
  </w:style>
  <w:style w:type="character" w:customStyle="1" w:styleId="a7">
    <w:name w:val="Текст выноски Знак"/>
    <w:qFormat/>
    <w:rsid w:val="008549FB"/>
    <w:rPr>
      <w:rFonts w:ascii="Segoe UI" w:hAnsi="Segoe UI" w:cs="Segoe UI"/>
      <w:sz w:val="18"/>
      <w:szCs w:val="18"/>
    </w:rPr>
  </w:style>
  <w:style w:type="character" w:customStyle="1" w:styleId="2">
    <w:name w:val="Основной текст (2)_"/>
    <w:link w:val="20"/>
    <w:qFormat/>
    <w:rsid w:val="007B116C"/>
    <w:rPr>
      <w:sz w:val="38"/>
      <w:szCs w:val="38"/>
    </w:rPr>
  </w:style>
  <w:style w:type="character" w:customStyle="1" w:styleId="3">
    <w:name w:val="Основной текст (3)_"/>
    <w:link w:val="30"/>
    <w:qFormat/>
    <w:rsid w:val="007B116C"/>
    <w:rPr>
      <w:sz w:val="36"/>
      <w:szCs w:val="36"/>
    </w:rPr>
  </w:style>
  <w:style w:type="character" w:customStyle="1" w:styleId="4">
    <w:name w:val="Основной текст (4)_"/>
    <w:basedOn w:val="a0"/>
    <w:link w:val="40"/>
    <w:qFormat/>
    <w:rsid w:val="007B116C"/>
  </w:style>
  <w:style w:type="character" w:customStyle="1" w:styleId="5">
    <w:name w:val="Основной текст (5)_"/>
    <w:link w:val="50"/>
    <w:qFormat/>
    <w:rsid w:val="007B116C"/>
    <w:rPr>
      <w:i/>
      <w:iCs/>
    </w:rPr>
  </w:style>
  <w:style w:type="character" w:customStyle="1" w:styleId="51">
    <w:name w:val="Основной текст (5) + Не курсив"/>
    <w:qFormat/>
    <w:rsid w:val="007B116C"/>
    <w:rPr>
      <w:i/>
      <w:iCs/>
      <w:color w:val="000000"/>
      <w:spacing w:val="0"/>
      <w:w w:val="100"/>
      <w:sz w:val="24"/>
      <w:szCs w:val="24"/>
      <w:lang w:val="ru-RU" w:eastAsia="ru-RU" w:bidi="ru-RU"/>
    </w:rPr>
  </w:style>
  <w:style w:type="character" w:customStyle="1" w:styleId="41">
    <w:name w:val="Основной текст (4) + Курсив"/>
    <w:qFormat/>
    <w:rsid w:val="007B116C"/>
    <w:rPr>
      <w:i/>
      <w:iCs/>
      <w:color w:val="000000"/>
      <w:spacing w:val="0"/>
      <w:w w:val="100"/>
      <w:sz w:val="24"/>
      <w:szCs w:val="24"/>
      <w:lang w:val="ru-RU" w:eastAsia="ru-RU" w:bidi="ru-RU"/>
    </w:rPr>
  </w:style>
  <w:style w:type="character" w:customStyle="1" w:styleId="a8">
    <w:name w:val="Основной текст_"/>
    <w:link w:val="1"/>
    <w:qFormat/>
    <w:rsid w:val="007B116C"/>
    <w:rPr>
      <w:sz w:val="30"/>
      <w:szCs w:val="30"/>
    </w:rPr>
  </w:style>
  <w:style w:type="character" w:customStyle="1" w:styleId="a9">
    <w:name w:val="Основной текст + Курсив"/>
    <w:qFormat/>
    <w:rsid w:val="007B116C"/>
    <w:rPr>
      <w:i/>
      <w:iCs/>
      <w:color w:val="000000"/>
      <w:spacing w:val="0"/>
      <w:w w:val="100"/>
      <w:sz w:val="30"/>
      <w:szCs w:val="30"/>
      <w:lang w:val="ru-RU" w:eastAsia="ru-RU" w:bidi="ru-RU"/>
    </w:rPr>
  </w:style>
  <w:style w:type="character" w:customStyle="1" w:styleId="6">
    <w:name w:val="Основной текст (6)_"/>
    <w:link w:val="60"/>
    <w:qFormat/>
    <w:rsid w:val="007B116C"/>
    <w:rPr>
      <w:i/>
      <w:iCs/>
      <w:sz w:val="30"/>
      <w:szCs w:val="30"/>
    </w:rPr>
  </w:style>
  <w:style w:type="character" w:customStyle="1" w:styleId="61">
    <w:name w:val="Основной текст (6) + Не курсив"/>
    <w:qFormat/>
    <w:rsid w:val="007B116C"/>
    <w:rPr>
      <w:i/>
      <w:iCs/>
      <w:color w:val="000000"/>
      <w:spacing w:val="0"/>
      <w:w w:val="100"/>
      <w:sz w:val="30"/>
      <w:szCs w:val="30"/>
      <w:lang w:val="ru-RU" w:eastAsia="ru-RU" w:bidi="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customStyle="1" w:styleId="aa">
    <w:name w:val="Заголовок"/>
    <w:basedOn w:val="a"/>
    <w:next w:val="ab"/>
    <w:qFormat/>
    <w:pPr>
      <w:keepNext/>
      <w:spacing w:before="240" w:after="120"/>
    </w:pPr>
    <w:rPr>
      <w:rFonts w:ascii="Liberation Sans" w:eastAsia="Lucida Sans Unicode" w:hAnsi="Liberation Sans" w:cs="Mang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header"/>
    <w:basedOn w:val="a"/>
    <w:rsid w:val="00091B06"/>
    <w:pPr>
      <w:tabs>
        <w:tab w:val="center" w:pos="4677"/>
        <w:tab w:val="right" w:pos="9355"/>
      </w:tabs>
    </w:pPr>
  </w:style>
  <w:style w:type="paragraph" w:styleId="af0">
    <w:name w:val="footer"/>
    <w:basedOn w:val="a"/>
    <w:rsid w:val="00091B06"/>
    <w:pPr>
      <w:tabs>
        <w:tab w:val="center" w:pos="4677"/>
        <w:tab w:val="right" w:pos="9355"/>
      </w:tabs>
    </w:pPr>
  </w:style>
  <w:style w:type="paragraph" w:styleId="af1">
    <w:name w:val="annotation text"/>
    <w:basedOn w:val="a"/>
    <w:qFormat/>
    <w:rsid w:val="008549FB"/>
    <w:rPr>
      <w:sz w:val="20"/>
      <w:szCs w:val="20"/>
    </w:rPr>
  </w:style>
  <w:style w:type="paragraph" w:styleId="af2">
    <w:name w:val="annotation subject"/>
    <w:basedOn w:val="af1"/>
    <w:qFormat/>
    <w:rsid w:val="008549FB"/>
    <w:rPr>
      <w:b/>
      <w:bCs/>
    </w:rPr>
  </w:style>
  <w:style w:type="paragraph" w:styleId="af3">
    <w:name w:val="Balloon Text"/>
    <w:basedOn w:val="a"/>
    <w:qFormat/>
    <w:rsid w:val="008549FB"/>
    <w:rPr>
      <w:rFonts w:ascii="Segoe UI" w:hAnsi="Segoe UI"/>
      <w:sz w:val="18"/>
      <w:szCs w:val="18"/>
    </w:rPr>
  </w:style>
  <w:style w:type="paragraph" w:customStyle="1" w:styleId="20">
    <w:name w:val="Основной текст (2)"/>
    <w:basedOn w:val="a"/>
    <w:link w:val="2"/>
    <w:qFormat/>
    <w:rsid w:val="007B116C"/>
    <w:pPr>
      <w:widowControl w:val="0"/>
      <w:spacing w:line="645" w:lineRule="exact"/>
      <w:jc w:val="both"/>
    </w:pPr>
    <w:rPr>
      <w:sz w:val="38"/>
      <w:szCs w:val="38"/>
    </w:rPr>
  </w:style>
  <w:style w:type="paragraph" w:customStyle="1" w:styleId="30">
    <w:name w:val="Основной текст (3)"/>
    <w:basedOn w:val="a"/>
    <w:link w:val="3"/>
    <w:qFormat/>
    <w:rsid w:val="007B116C"/>
    <w:pPr>
      <w:widowControl w:val="0"/>
      <w:spacing w:line="645" w:lineRule="exact"/>
      <w:jc w:val="both"/>
    </w:pPr>
    <w:rPr>
      <w:sz w:val="36"/>
      <w:szCs w:val="36"/>
    </w:rPr>
  </w:style>
  <w:style w:type="paragraph" w:customStyle="1" w:styleId="40">
    <w:name w:val="Основной текст (4)"/>
    <w:basedOn w:val="a"/>
    <w:link w:val="4"/>
    <w:qFormat/>
    <w:rsid w:val="007B116C"/>
    <w:pPr>
      <w:widowControl w:val="0"/>
      <w:spacing w:after="360" w:line="428" w:lineRule="exact"/>
      <w:jc w:val="both"/>
    </w:pPr>
    <w:rPr>
      <w:sz w:val="20"/>
      <w:szCs w:val="20"/>
    </w:rPr>
  </w:style>
  <w:style w:type="paragraph" w:customStyle="1" w:styleId="50">
    <w:name w:val="Основной текст (5)"/>
    <w:basedOn w:val="a"/>
    <w:link w:val="5"/>
    <w:qFormat/>
    <w:rsid w:val="007B116C"/>
    <w:pPr>
      <w:widowControl w:val="0"/>
      <w:spacing w:line="428" w:lineRule="exact"/>
      <w:jc w:val="both"/>
    </w:pPr>
    <w:rPr>
      <w:i/>
      <w:iCs/>
      <w:sz w:val="20"/>
      <w:szCs w:val="20"/>
    </w:rPr>
  </w:style>
  <w:style w:type="paragraph" w:customStyle="1" w:styleId="1">
    <w:name w:val="Основной текст1"/>
    <w:basedOn w:val="a"/>
    <w:link w:val="a8"/>
    <w:qFormat/>
    <w:rsid w:val="007B116C"/>
    <w:pPr>
      <w:widowControl w:val="0"/>
      <w:spacing w:line="548" w:lineRule="exact"/>
      <w:jc w:val="both"/>
    </w:pPr>
    <w:rPr>
      <w:sz w:val="30"/>
      <w:szCs w:val="30"/>
    </w:rPr>
  </w:style>
  <w:style w:type="paragraph" w:customStyle="1" w:styleId="60">
    <w:name w:val="Основной текст (6)"/>
    <w:basedOn w:val="a"/>
    <w:link w:val="6"/>
    <w:qFormat/>
    <w:rsid w:val="007B116C"/>
    <w:pPr>
      <w:widowControl w:val="0"/>
      <w:spacing w:after="480" w:line="548" w:lineRule="exact"/>
      <w:jc w:val="both"/>
    </w:pPr>
    <w:rPr>
      <w:i/>
      <w:iCs/>
      <w:sz w:val="30"/>
      <w:szCs w:val="30"/>
    </w:rPr>
  </w:style>
  <w:style w:type="paragraph" w:customStyle="1" w:styleId="af4">
    <w:name w:val="Содержимое врезки"/>
    <w:basedOn w:val="a"/>
    <w:qFormat/>
  </w:style>
  <w:style w:type="table" w:styleId="af5">
    <w:name w:val="Table Grid"/>
    <w:basedOn w:val="a1"/>
    <w:rsid w:val="0014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99AD3-CCB4-4814-B3B4-EBF2541D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3748</Words>
  <Characters>21367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Рекомендации по оформлению Изменения к нормативной документации по разделу «Маркировка»</vt:lpstr>
    </vt:vector>
  </TitlesOfParts>
  <Company>Microsoft</Company>
  <LinksUpToDate>false</LinksUpToDate>
  <CharactersWithSpaces>25065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оформлению Изменения к нормативной документации по разделу «Маркировка»</dc:title>
  <dc:subject/>
  <dc:creator>RozhnovaSA</dc:creator>
  <dc:description/>
  <cp:lastModifiedBy>Желудкова Людмила Леонидовна</cp:lastModifiedBy>
  <cp:revision>11</cp:revision>
  <cp:lastPrinted>2020-06-15T13:31:00Z</cp:lastPrinted>
  <dcterms:created xsi:type="dcterms:W3CDTF">2016-08-15T11:49:00Z</dcterms:created>
  <dcterms:modified xsi:type="dcterms:W3CDTF">2020-08-20T06:50:00Z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