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DF" w:rsidRDefault="007E28DF" w:rsidP="007E28DF">
      <w:pPr>
        <w:jc w:val="center"/>
        <w:rPr>
          <w:b/>
        </w:rPr>
      </w:pPr>
      <w:r w:rsidRPr="00A84AAB">
        <w:rPr>
          <w:b/>
        </w:rPr>
        <w:t>МИНИСТЕРСТВО ЗДРАВООХРАНЕНИЯ РОССИЙСКОЙ ФЕДЕРАЦИИ</w:t>
      </w:r>
    </w:p>
    <w:p w:rsidR="00DB4F50" w:rsidRPr="00A84AAB" w:rsidRDefault="00DB4F50" w:rsidP="007E28DF">
      <w:pPr>
        <w:jc w:val="center"/>
        <w:rPr>
          <w:b/>
        </w:rPr>
      </w:pPr>
    </w:p>
    <w:p w:rsidR="007E28DF" w:rsidRPr="00A84AAB" w:rsidRDefault="007E28DF" w:rsidP="007E28DF">
      <w:pPr>
        <w:jc w:val="center"/>
        <w:rPr>
          <w:b/>
        </w:rPr>
      </w:pPr>
      <w:r w:rsidRPr="00A84AAB">
        <w:rPr>
          <w:b/>
        </w:rPr>
        <w:t>ИНСТРУКЦИЯ</w:t>
      </w:r>
    </w:p>
    <w:p w:rsidR="007E28DF" w:rsidRPr="00A84AAB" w:rsidRDefault="007E28DF" w:rsidP="007E28DF">
      <w:pPr>
        <w:jc w:val="center"/>
        <w:rPr>
          <w:b/>
        </w:rPr>
      </w:pPr>
    </w:p>
    <w:p w:rsidR="007E28DF" w:rsidRPr="00A84AAB" w:rsidRDefault="007E28DF" w:rsidP="007E28DF">
      <w:pPr>
        <w:jc w:val="center"/>
        <w:rPr>
          <w:b/>
        </w:rPr>
      </w:pPr>
    </w:p>
    <w:p w:rsidR="007E28DF" w:rsidRPr="00A84AAB" w:rsidRDefault="007E28DF" w:rsidP="007E28DF">
      <w:pPr>
        <w:jc w:val="center"/>
        <w:rPr>
          <w:b/>
        </w:rPr>
      </w:pPr>
    </w:p>
    <w:p w:rsidR="007E28DF" w:rsidRPr="00A84AAB" w:rsidRDefault="00DB4F50" w:rsidP="007E28DF">
      <w:pPr>
        <w:jc w:val="center"/>
        <w:rPr>
          <w:b/>
        </w:rPr>
      </w:pPr>
      <w:r>
        <w:rPr>
          <w:b/>
        </w:rPr>
        <w:t>ПО МЕДИЦИНСКОМУ ПРИМЕНЕНИЮ ЛЕКАРСТВЕННОГО ПРЕПАРАТА</w:t>
      </w:r>
    </w:p>
    <w:p w:rsidR="007E28DF" w:rsidRPr="00A84AAB" w:rsidRDefault="007E28DF" w:rsidP="007E28DF">
      <w:pPr>
        <w:jc w:val="center"/>
        <w:rPr>
          <w:b/>
        </w:rPr>
      </w:pPr>
    </w:p>
    <w:p w:rsidR="007E28DF" w:rsidRPr="00A84AAB" w:rsidRDefault="007E3035" w:rsidP="007E28DF">
      <w:pPr>
        <w:jc w:val="center"/>
        <w:rPr>
          <w:b/>
        </w:rPr>
      </w:pPr>
      <w:r>
        <w:rPr>
          <w:b/>
        </w:rPr>
        <w:t>А</w:t>
      </w:r>
      <w:r w:rsidR="00D8265A">
        <w:rPr>
          <w:b/>
        </w:rPr>
        <w:t>МБРОКСОЛ</w:t>
      </w:r>
    </w:p>
    <w:p w:rsidR="007E28DF" w:rsidRPr="00A84AAB" w:rsidRDefault="007E28DF" w:rsidP="007E28DF">
      <w:pPr>
        <w:rPr>
          <w:b/>
        </w:rPr>
      </w:pPr>
    </w:p>
    <w:p w:rsidR="007E28DF" w:rsidRPr="00A84AAB" w:rsidRDefault="007E28DF" w:rsidP="007E28DF">
      <w:pPr>
        <w:spacing w:line="360" w:lineRule="auto"/>
        <w:rPr>
          <w:b/>
        </w:rPr>
      </w:pPr>
      <w:r w:rsidRPr="00A84AAB">
        <w:rPr>
          <w:b/>
        </w:rPr>
        <w:t xml:space="preserve">Регистрационный номер: </w:t>
      </w:r>
    </w:p>
    <w:p w:rsidR="007E28DF" w:rsidRPr="00A84AAB" w:rsidRDefault="007E28DF" w:rsidP="007E28DF">
      <w:pPr>
        <w:spacing w:line="360" w:lineRule="auto"/>
      </w:pPr>
      <w:r w:rsidRPr="00A84AAB">
        <w:rPr>
          <w:b/>
        </w:rPr>
        <w:t xml:space="preserve">Торговое </w:t>
      </w:r>
      <w:r w:rsidR="00DB4F50">
        <w:rPr>
          <w:b/>
        </w:rPr>
        <w:t>наименование</w:t>
      </w:r>
      <w:r w:rsidRPr="00A84AAB">
        <w:rPr>
          <w:b/>
        </w:rPr>
        <w:t>:</w:t>
      </w:r>
      <w:r>
        <w:t xml:space="preserve"> </w:t>
      </w:r>
      <w:proofErr w:type="spellStart"/>
      <w:r w:rsidR="00D8265A">
        <w:t>А</w:t>
      </w:r>
      <w:r w:rsidR="00D7603A">
        <w:t>мброксол</w:t>
      </w:r>
      <w:proofErr w:type="spellEnd"/>
    </w:p>
    <w:p w:rsidR="00DB4F50" w:rsidRPr="00A84AAB" w:rsidRDefault="007E28DF" w:rsidP="00DB4F50">
      <w:pPr>
        <w:spacing w:line="360" w:lineRule="auto"/>
        <w:rPr>
          <w:b/>
        </w:rPr>
      </w:pPr>
      <w:r w:rsidRPr="00A84AAB">
        <w:rPr>
          <w:b/>
        </w:rPr>
        <w:t xml:space="preserve">Международное непатентованное </w:t>
      </w:r>
      <w:r w:rsidR="00DB4F50">
        <w:rPr>
          <w:b/>
        </w:rPr>
        <w:t xml:space="preserve">или </w:t>
      </w:r>
      <w:proofErr w:type="spellStart"/>
      <w:r w:rsidR="00DB4F50">
        <w:rPr>
          <w:b/>
        </w:rPr>
        <w:t>группировочное</w:t>
      </w:r>
      <w:proofErr w:type="spellEnd"/>
      <w:r w:rsidR="00DB4F50">
        <w:rPr>
          <w:b/>
        </w:rPr>
        <w:t xml:space="preserve"> наименование</w:t>
      </w:r>
      <w:r w:rsidRPr="00A84AAB">
        <w:t xml:space="preserve">: </w:t>
      </w:r>
      <w:proofErr w:type="spellStart"/>
      <w:r w:rsidR="007E3035" w:rsidRPr="007E3035">
        <w:t>Амброксол</w:t>
      </w:r>
      <w:proofErr w:type="spellEnd"/>
      <w:r w:rsidRPr="007E28DF">
        <w:t xml:space="preserve"> </w:t>
      </w:r>
    </w:p>
    <w:p w:rsidR="00DB4F50" w:rsidRDefault="00DB4F50" w:rsidP="007E28DF">
      <w:pPr>
        <w:spacing w:line="360" w:lineRule="auto"/>
      </w:pPr>
      <w:r w:rsidRPr="00A84AAB">
        <w:rPr>
          <w:b/>
        </w:rPr>
        <w:t>Лекарственная форма</w:t>
      </w:r>
      <w:r w:rsidRPr="00A84AAB">
        <w:t xml:space="preserve">: </w:t>
      </w:r>
      <w:r w:rsidR="003B7F3B">
        <w:t>раствор для приема внутрь</w:t>
      </w:r>
    </w:p>
    <w:p w:rsidR="007E28DF" w:rsidRPr="00A84AAB" w:rsidRDefault="00DB4F50" w:rsidP="007E28DF">
      <w:pPr>
        <w:spacing w:line="360" w:lineRule="auto"/>
      </w:pPr>
      <w:r>
        <w:rPr>
          <w:b/>
        </w:rPr>
        <w:t xml:space="preserve">Состав на </w:t>
      </w:r>
      <w:r w:rsidR="003B7F3B">
        <w:rPr>
          <w:b/>
        </w:rPr>
        <w:t>1 мл</w:t>
      </w:r>
      <w:r w:rsidR="007E28DF" w:rsidRPr="00A84AAB">
        <w:rPr>
          <w:b/>
        </w:rPr>
        <w:t>:</w:t>
      </w:r>
      <w:r w:rsidR="007E28DF" w:rsidRPr="00A84AAB"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DB4F50" w:rsidTr="00DB4F50">
        <w:trPr>
          <w:trHeight w:val="564"/>
        </w:trPr>
        <w:tc>
          <w:tcPr>
            <w:tcW w:w="9345" w:type="dxa"/>
            <w:gridSpan w:val="2"/>
          </w:tcPr>
          <w:p w:rsidR="00DB4F50" w:rsidRPr="00DB4F50" w:rsidRDefault="00DB4F50" w:rsidP="00934628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i/>
                <w:sz w:val="24"/>
                <w:szCs w:val="24"/>
              </w:rPr>
            </w:pPr>
            <w:r w:rsidRPr="00DB4F50">
              <w:rPr>
                <w:i/>
                <w:sz w:val="24"/>
                <w:szCs w:val="24"/>
              </w:rPr>
              <w:t>Действующие вещества:</w:t>
            </w:r>
          </w:p>
        </w:tc>
      </w:tr>
      <w:tr w:rsidR="00DB4F50" w:rsidTr="00DB4F50">
        <w:tc>
          <w:tcPr>
            <w:tcW w:w="7366" w:type="dxa"/>
          </w:tcPr>
          <w:p w:rsidR="00DB4F50" w:rsidRPr="00DB4F50" w:rsidRDefault="007E3035" w:rsidP="00DB4F50">
            <w:pPr>
              <w:pStyle w:val="a4"/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 w:rsidRPr="007E3035">
              <w:rPr>
                <w:sz w:val="24"/>
                <w:szCs w:val="24"/>
              </w:rPr>
              <w:t>мброксола</w:t>
            </w:r>
            <w:proofErr w:type="spellEnd"/>
            <w:r w:rsidRPr="007E3035">
              <w:rPr>
                <w:sz w:val="24"/>
                <w:szCs w:val="24"/>
              </w:rPr>
              <w:t xml:space="preserve"> гидрохлорид</w:t>
            </w:r>
          </w:p>
        </w:tc>
        <w:tc>
          <w:tcPr>
            <w:tcW w:w="1979" w:type="dxa"/>
          </w:tcPr>
          <w:p w:rsidR="00DB4F50" w:rsidRPr="00DB4F50" w:rsidRDefault="007E3035" w:rsidP="00934628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B4F50" w:rsidRPr="00DB4F50">
              <w:rPr>
                <w:sz w:val="24"/>
                <w:szCs w:val="24"/>
              </w:rPr>
              <w:t>,0 мг</w:t>
            </w:r>
          </w:p>
        </w:tc>
      </w:tr>
      <w:tr w:rsidR="00DB4F50" w:rsidTr="00DB4F50">
        <w:tc>
          <w:tcPr>
            <w:tcW w:w="9345" w:type="dxa"/>
            <w:gridSpan w:val="2"/>
          </w:tcPr>
          <w:p w:rsidR="00DB4F50" w:rsidRPr="00DB4F50" w:rsidRDefault="00DB4F50" w:rsidP="00934628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i/>
                <w:sz w:val="24"/>
                <w:szCs w:val="24"/>
              </w:rPr>
            </w:pPr>
            <w:r w:rsidRPr="00DB4F50">
              <w:rPr>
                <w:i/>
                <w:sz w:val="24"/>
                <w:szCs w:val="24"/>
              </w:rPr>
              <w:t>Вспомогательные вещества:</w:t>
            </w:r>
          </w:p>
        </w:tc>
      </w:tr>
      <w:tr w:rsidR="00DB4F50" w:rsidTr="00DB4F50">
        <w:tc>
          <w:tcPr>
            <w:tcW w:w="7366" w:type="dxa"/>
          </w:tcPr>
          <w:p w:rsidR="00DB4F50" w:rsidRPr="00DB4F50" w:rsidRDefault="007E3035" w:rsidP="007E3035">
            <w:pPr>
              <w:pStyle w:val="a4"/>
              <w:widowControl w:val="0"/>
              <w:spacing w:line="360" w:lineRule="auto"/>
              <w:rPr>
                <w:i/>
                <w:sz w:val="24"/>
                <w:szCs w:val="24"/>
              </w:rPr>
            </w:pPr>
            <w:r w:rsidRPr="007E3035">
              <w:rPr>
                <w:sz w:val="24"/>
                <w:szCs w:val="24"/>
              </w:rPr>
              <w:t>Бензойная</w:t>
            </w:r>
            <w:r>
              <w:rPr>
                <w:sz w:val="24"/>
                <w:szCs w:val="24"/>
              </w:rPr>
              <w:t xml:space="preserve"> </w:t>
            </w:r>
            <w:r w:rsidRPr="007E3035">
              <w:rPr>
                <w:sz w:val="24"/>
                <w:szCs w:val="24"/>
              </w:rPr>
              <w:t>кислота</w:t>
            </w:r>
          </w:p>
        </w:tc>
        <w:tc>
          <w:tcPr>
            <w:tcW w:w="1979" w:type="dxa"/>
          </w:tcPr>
          <w:p w:rsidR="00DB4F50" w:rsidRPr="00DB4F50" w:rsidRDefault="00C10783" w:rsidP="00F34EA1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4EA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DB4F50" w:rsidRPr="00DB4F50">
              <w:rPr>
                <w:sz w:val="24"/>
                <w:szCs w:val="24"/>
              </w:rPr>
              <w:t xml:space="preserve"> мг</w:t>
            </w:r>
          </w:p>
        </w:tc>
      </w:tr>
      <w:tr w:rsidR="00DB4F50" w:rsidTr="00DB4F50">
        <w:tc>
          <w:tcPr>
            <w:tcW w:w="7366" w:type="dxa"/>
          </w:tcPr>
          <w:p w:rsidR="00DB4F50" w:rsidRPr="00DB4F50" w:rsidRDefault="007E3035" w:rsidP="00DB4F50">
            <w:pPr>
              <w:pStyle w:val="a4"/>
              <w:widowControl w:val="0"/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r w:rsidRPr="007E3035">
              <w:rPr>
                <w:sz w:val="24"/>
                <w:szCs w:val="24"/>
              </w:rPr>
              <w:t>иэтеллоза</w:t>
            </w:r>
            <w:proofErr w:type="spellEnd"/>
            <w:r w:rsidRPr="007E3035">
              <w:rPr>
                <w:sz w:val="24"/>
                <w:szCs w:val="24"/>
              </w:rPr>
              <w:t xml:space="preserve"> (</w:t>
            </w:r>
            <w:proofErr w:type="spellStart"/>
            <w:r w:rsidRPr="007E3035">
              <w:rPr>
                <w:sz w:val="24"/>
                <w:szCs w:val="24"/>
              </w:rPr>
              <w:t>гидроксиэтилцеллюлоза</w:t>
            </w:r>
            <w:proofErr w:type="spellEnd"/>
            <w:r w:rsidRPr="007E3035">
              <w:rPr>
                <w:sz w:val="24"/>
                <w:szCs w:val="24"/>
              </w:rPr>
              <w:t>)</w:t>
            </w:r>
          </w:p>
        </w:tc>
        <w:tc>
          <w:tcPr>
            <w:tcW w:w="1979" w:type="dxa"/>
          </w:tcPr>
          <w:p w:rsidR="00DB4F50" w:rsidRPr="00DB4F50" w:rsidRDefault="00C10783" w:rsidP="00C10783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4F50" w:rsidRPr="00DB4F5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DB4F50" w:rsidRPr="00DB4F50">
              <w:rPr>
                <w:sz w:val="24"/>
                <w:szCs w:val="24"/>
              </w:rPr>
              <w:t xml:space="preserve"> мг</w:t>
            </w:r>
          </w:p>
        </w:tc>
      </w:tr>
      <w:tr w:rsidR="00DB4F50" w:rsidTr="00DB4F50">
        <w:tc>
          <w:tcPr>
            <w:tcW w:w="7366" w:type="dxa"/>
          </w:tcPr>
          <w:p w:rsidR="00DB4F50" w:rsidRPr="00DB4F50" w:rsidRDefault="007E3035" w:rsidP="00DB4F50">
            <w:pPr>
              <w:pStyle w:val="a4"/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E3035">
              <w:rPr>
                <w:sz w:val="24"/>
                <w:szCs w:val="24"/>
              </w:rPr>
              <w:t xml:space="preserve">алия </w:t>
            </w:r>
            <w:proofErr w:type="spellStart"/>
            <w:r w:rsidRPr="007E3035">
              <w:rPr>
                <w:sz w:val="24"/>
                <w:szCs w:val="24"/>
              </w:rPr>
              <w:t>ацесульфам</w:t>
            </w:r>
            <w:proofErr w:type="spellEnd"/>
          </w:p>
        </w:tc>
        <w:tc>
          <w:tcPr>
            <w:tcW w:w="1979" w:type="dxa"/>
          </w:tcPr>
          <w:p w:rsidR="00DB4F50" w:rsidRPr="00DB4F50" w:rsidRDefault="00C10783" w:rsidP="00934628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4F50" w:rsidRPr="00DB4F50">
              <w:rPr>
                <w:sz w:val="24"/>
                <w:szCs w:val="24"/>
              </w:rPr>
              <w:t>,0 мг</w:t>
            </w:r>
          </w:p>
        </w:tc>
      </w:tr>
      <w:tr w:rsidR="00DB4F50" w:rsidTr="00DB4F50">
        <w:tc>
          <w:tcPr>
            <w:tcW w:w="7366" w:type="dxa"/>
          </w:tcPr>
          <w:p w:rsidR="00DB4F50" w:rsidRPr="00DB4F50" w:rsidRDefault="007E3035" w:rsidP="00934628">
            <w:pPr>
              <w:pStyle w:val="a4"/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E3035">
              <w:rPr>
                <w:sz w:val="24"/>
                <w:szCs w:val="24"/>
              </w:rPr>
              <w:t>орбитол жидкий (некристаллизующийся)</w:t>
            </w:r>
            <w:r w:rsidR="00DB4F50" w:rsidRPr="00DB4F50">
              <w:rPr>
                <w:sz w:val="24"/>
                <w:szCs w:val="24"/>
              </w:rPr>
              <w:tab/>
            </w:r>
          </w:p>
        </w:tc>
        <w:tc>
          <w:tcPr>
            <w:tcW w:w="1979" w:type="dxa"/>
          </w:tcPr>
          <w:p w:rsidR="00DB4F50" w:rsidRPr="00DB4F50" w:rsidRDefault="00C10783" w:rsidP="00C10783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DB4F50" w:rsidRPr="00DB4F5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DB4F50" w:rsidRPr="00DB4F50">
              <w:rPr>
                <w:sz w:val="24"/>
                <w:szCs w:val="24"/>
              </w:rPr>
              <w:t xml:space="preserve"> мг</w:t>
            </w:r>
          </w:p>
        </w:tc>
      </w:tr>
      <w:tr w:rsidR="00DB4F50" w:rsidTr="00DB4F50">
        <w:tc>
          <w:tcPr>
            <w:tcW w:w="7366" w:type="dxa"/>
          </w:tcPr>
          <w:p w:rsidR="00DB4F50" w:rsidRPr="00DB4F50" w:rsidRDefault="007E3035" w:rsidP="00C10783">
            <w:pPr>
              <w:pStyle w:val="a4"/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E3035">
              <w:rPr>
                <w:sz w:val="24"/>
                <w:szCs w:val="24"/>
              </w:rPr>
              <w:t xml:space="preserve">лицерол </w:t>
            </w:r>
            <w:r w:rsidR="00C10783">
              <w:rPr>
                <w:sz w:val="24"/>
                <w:szCs w:val="24"/>
              </w:rPr>
              <w:t>(глицерин)</w:t>
            </w:r>
          </w:p>
        </w:tc>
        <w:tc>
          <w:tcPr>
            <w:tcW w:w="1979" w:type="dxa"/>
          </w:tcPr>
          <w:p w:rsidR="00DB4F50" w:rsidRPr="00DB4F50" w:rsidRDefault="00DB4F50" w:rsidP="00934628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sz w:val="24"/>
                <w:szCs w:val="24"/>
              </w:rPr>
            </w:pPr>
            <w:r w:rsidRPr="00DB4F50">
              <w:rPr>
                <w:sz w:val="24"/>
                <w:szCs w:val="24"/>
              </w:rPr>
              <w:t>1</w:t>
            </w:r>
            <w:r w:rsidR="00C10783">
              <w:rPr>
                <w:sz w:val="24"/>
                <w:szCs w:val="24"/>
              </w:rPr>
              <w:t>50,0</w:t>
            </w:r>
            <w:r w:rsidRPr="00DB4F50">
              <w:rPr>
                <w:sz w:val="24"/>
                <w:szCs w:val="24"/>
              </w:rPr>
              <w:t xml:space="preserve"> мг</w:t>
            </w:r>
          </w:p>
        </w:tc>
      </w:tr>
      <w:tr w:rsidR="007E3035" w:rsidTr="00DB4F50">
        <w:tc>
          <w:tcPr>
            <w:tcW w:w="7366" w:type="dxa"/>
          </w:tcPr>
          <w:p w:rsidR="00FB155B" w:rsidRDefault="007E3035" w:rsidP="006E5B81">
            <w:pPr>
              <w:pStyle w:val="a4"/>
              <w:widowControl w:val="0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 w:rsidRPr="007E3035">
              <w:rPr>
                <w:sz w:val="24"/>
                <w:szCs w:val="24"/>
              </w:rPr>
              <w:t>роматизатор</w:t>
            </w:r>
            <w:proofErr w:type="spellEnd"/>
            <w:r w:rsidRPr="007E3035">
              <w:rPr>
                <w:sz w:val="24"/>
                <w:szCs w:val="24"/>
              </w:rPr>
              <w:t xml:space="preserve"> клубничный </w:t>
            </w:r>
          </w:p>
        </w:tc>
        <w:tc>
          <w:tcPr>
            <w:tcW w:w="1979" w:type="dxa"/>
          </w:tcPr>
          <w:p w:rsidR="007E3035" w:rsidRPr="00DB4F50" w:rsidRDefault="00C10783" w:rsidP="00934628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 мг</w:t>
            </w:r>
          </w:p>
        </w:tc>
      </w:tr>
      <w:tr w:rsidR="007E3035" w:rsidTr="00DB4F50">
        <w:tc>
          <w:tcPr>
            <w:tcW w:w="7366" w:type="dxa"/>
          </w:tcPr>
          <w:p w:rsidR="007E3035" w:rsidRDefault="007E3035" w:rsidP="00D463B6">
            <w:pPr>
              <w:pStyle w:val="a4"/>
              <w:widowControl w:val="0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 w:rsidRPr="007E3035">
              <w:rPr>
                <w:sz w:val="24"/>
                <w:szCs w:val="24"/>
              </w:rPr>
              <w:t>роматизатор</w:t>
            </w:r>
            <w:proofErr w:type="spellEnd"/>
            <w:r w:rsidRPr="007E3035">
              <w:rPr>
                <w:sz w:val="24"/>
                <w:szCs w:val="24"/>
              </w:rPr>
              <w:t xml:space="preserve"> ванильный </w:t>
            </w:r>
          </w:p>
        </w:tc>
        <w:tc>
          <w:tcPr>
            <w:tcW w:w="1979" w:type="dxa"/>
          </w:tcPr>
          <w:p w:rsidR="007E3035" w:rsidRPr="00DB4F50" w:rsidRDefault="00C10783" w:rsidP="00934628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 мг</w:t>
            </w:r>
          </w:p>
        </w:tc>
      </w:tr>
      <w:tr w:rsidR="007E3035" w:rsidTr="00DB4F50">
        <w:tc>
          <w:tcPr>
            <w:tcW w:w="7366" w:type="dxa"/>
          </w:tcPr>
          <w:p w:rsidR="007E3035" w:rsidRDefault="007E3035" w:rsidP="00934628">
            <w:pPr>
              <w:pStyle w:val="a4"/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E3035">
              <w:rPr>
                <w:sz w:val="24"/>
                <w:szCs w:val="24"/>
              </w:rPr>
              <w:t>ода очищенная</w:t>
            </w:r>
          </w:p>
        </w:tc>
        <w:tc>
          <w:tcPr>
            <w:tcW w:w="1979" w:type="dxa"/>
          </w:tcPr>
          <w:p w:rsidR="007E3035" w:rsidRPr="00DB4F50" w:rsidRDefault="00C10783" w:rsidP="00934628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мл</w:t>
            </w:r>
          </w:p>
        </w:tc>
      </w:tr>
    </w:tbl>
    <w:p w:rsidR="007E28DF" w:rsidRPr="00DB4F50" w:rsidRDefault="00DB4F50" w:rsidP="007E28DF">
      <w:pPr>
        <w:spacing w:line="360" w:lineRule="auto"/>
        <w:rPr>
          <w:b/>
        </w:rPr>
      </w:pPr>
      <w:r>
        <w:rPr>
          <w:b/>
        </w:rPr>
        <w:t>Описание:</w:t>
      </w:r>
      <w:r w:rsidR="007E28DF" w:rsidRPr="00A84AAB">
        <w:rPr>
          <w:b/>
        </w:rPr>
        <w:t xml:space="preserve"> </w:t>
      </w:r>
      <w:r w:rsidR="00C10783">
        <w:t>п</w:t>
      </w:r>
      <w:r w:rsidR="00C10783" w:rsidRPr="00C10783">
        <w:t xml:space="preserve">розрачная или почти прозрачная, бесцветная или почти бесцветная, слегка вязкая жидкость </w:t>
      </w:r>
      <w:r w:rsidR="00F241C6" w:rsidRPr="00F241C6">
        <w:t xml:space="preserve">с </w:t>
      </w:r>
      <w:proofErr w:type="spellStart"/>
      <w:r w:rsidR="00F241C6" w:rsidRPr="00F241C6">
        <w:t>ванильно</w:t>
      </w:r>
      <w:proofErr w:type="spellEnd"/>
      <w:r w:rsidR="00F241C6" w:rsidRPr="00F241C6">
        <w:t>-клубничным запахом</w:t>
      </w:r>
      <w:r w:rsidR="00C10783" w:rsidRPr="00127308">
        <w:t>.</w:t>
      </w:r>
    </w:p>
    <w:p w:rsidR="007E28DF" w:rsidRPr="00A84AAB" w:rsidRDefault="007E28DF" w:rsidP="007E28DF">
      <w:pPr>
        <w:spacing w:line="360" w:lineRule="auto"/>
      </w:pPr>
      <w:r w:rsidRPr="00A84AAB">
        <w:rPr>
          <w:b/>
        </w:rPr>
        <w:t>Фармакотерапевтическая группа</w:t>
      </w:r>
      <w:r w:rsidRPr="00A84AAB">
        <w:t xml:space="preserve">: </w:t>
      </w:r>
      <w:r w:rsidR="00C10783">
        <w:t>о</w:t>
      </w:r>
      <w:r w:rsidR="00C10783" w:rsidRPr="00C10783">
        <w:t xml:space="preserve">тхаркивающее, </w:t>
      </w:r>
      <w:proofErr w:type="spellStart"/>
      <w:r w:rsidR="00C10783" w:rsidRPr="00C10783">
        <w:t>муколитическое</w:t>
      </w:r>
      <w:proofErr w:type="spellEnd"/>
      <w:r w:rsidR="00C10783" w:rsidRPr="00C10783">
        <w:t xml:space="preserve"> средство</w:t>
      </w:r>
      <w:r w:rsidR="00B43812">
        <w:t>.</w:t>
      </w:r>
      <w:r w:rsidRPr="00A84AAB">
        <w:t xml:space="preserve"> </w:t>
      </w:r>
    </w:p>
    <w:p w:rsidR="007E28DF" w:rsidRPr="00A84AAB" w:rsidRDefault="007E28DF" w:rsidP="007E28DF">
      <w:pPr>
        <w:spacing w:line="360" w:lineRule="auto"/>
      </w:pPr>
      <w:r w:rsidRPr="00A84AAB">
        <w:rPr>
          <w:b/>
        </w:rPr>
        <w:t>Код АТХ</w:t>
      </w:r>
      <w:r w:rsidRPr="00A84AAB">
        <w:t xml:space="preserve">: </w:t>
      </w:r>
      <w:r w:rsidR="00C10783" w:rsidRPr="00C10783">
        <w:rPr>
          <w:lang w:val="en-US"/>
        </w:rPr>
        <w:t>R</w:t>
      </w:r>
      <w:r w:rsidR="00C10783" w:rsidRPr="00713594">
        <w:t>05</w:t>
      </w:r>
      <w:r w:rsidR="00C10783" w:rsidRPr="00C10783">
        <w:rPr>
          <w:lang w:val="en-US"/>
        </w:rPr>
        <w:t>CB</w:t>
      </w:r>
      <w:r w:rsidR="00C10783" w:rsidRPr="00713594">
        <w:t>06</w:t>
      </w:r>
      <w:r w:rsidRPr="00A84AAB">
        <w:t xml:space="preserve">. </w:t>
      </w:r>
    </w:p>
    <w:p w:rsidR="007E28DF" w:rsidRDefault="00DB4F50" w:rsidP="007E28DF">
      <w:pPr>
        <w:spacing w:line="360" w:lineRule="auto"/>
        <w:rPr>
          <w:b/>
        </w:rPr>
      </w:pPr>
      <w:r>
        <w:rPr>
          <w:b/>
        </w:rPr>
        <w:t>Фармакологические свойства</w:t>
      </w:r>
    </w:p>
    <w:p w:rsidR="00DB4F50" w:rsidRPr="00A84AAB" w:rsidRDefault="00DB4F50" w:rsidP="007E28DF">
      <w:pPr>
        <w:spacing w:line="360" w:lineRule="auto"/>
        <w:rPr>
          <w:b/>
        </w:rPr>
      </w:pPr>
      <w:proofErr w:type="spellStart"/>
      <w:r>
        <w:rPr>
          <w:b/>
        </w:rPr>
        <w:t>Фармакодинамика</w:t>
      </w:r>
      <w:proofErr w:type="spellEnd"/>
    </w:p>
    <w:p w:rsidR="00024AB0" w:rsidRDefault="00024AB0" w:rsidP="00024AB0">
      <w:pPr>
        <w:spacing w:line="360" w:lineRule="auto"/>
        <w:jc w:val="both"/>
      </w:pPr>
      <w:proofErr w:type="spellStart"/>
      <w:r>
        <w:t>Амброксол</w:t>
      </w:r>
      <w:proofErr w:type="spellEnd"/>
      <w:r>
        <w:t xml:space="preserve"> обладает </w:t>
      </w:r>
      <w:proofErr w:type="spellStart"/>
      <w:r>
        <w:t>секретомоторным</w:t>
      </w:r>
      <w:proofErr w:type="spellEnd"/>
      <w:r>
        <w:t xml:space="preserve">, </w:t>
      </w:r>
      <w:proofErr w:type="spellStart"/>
      <w:r>
        <w:t>секретолитическим</w:t>
      </w:r>
      <w:proofErr w:type="spellEnd"/>
      <w:r>
        <w:t xml:space="preserve"> и отхаркивающим действием: стимулирует серозные клетки желез слизистой оболочки бронхов, увеличивает содержание слизистого секрета и выделение </w:t>
      </w:r>
      <w:proofErr w:type="spellStart"/>
      <w:r>
        <w:t>сурфак</w:t>
      </w:r>
      <w:r w:rsidR="00F34EA1">
        <w:t>т</w:t>
      </w:r>
      <w:r>
        <w:t>анта</w:t>
      </w:r>
      <w:proofErr w:type="spellEnd"/>
      <w:r>
        <w:t xml:space="preserve"> в альвеолах и бронхах; нормализует нарушенное соотношение серозного и слизистого компонентов мокроты. Активирует </w:t>
      </w:r>
      <w:proofErr w:type="spellStart"/>
      <w:r>
        <w:t>гидролизирующие</w:t>
      </w:r>
      <w:proofErr w:type="spellEnd"/>
      <w:r>
        <w:t xml:space="preserve"> ферменты и усиливает высвобождение лизосом из клеток Клара, снижая вязкость мокроты. Повышает двигательную активность ресничек мерцательного эпителия. </w:t>
      </w:r>
      <w:r>
        <w:lastRenderedPageBreak/>
        <w:t>Усиливает ток и транспорт слизи (</w:t>
      </w:r>
      <w:proofErr w:type="spellStart"/>
      <w:r>
        <w:t>мукоцилиарный</w:t>
      </w:r>
      <w:proofErr w:type="spellEnd"/>
      <w:r>
        <w:t xml:space="preserve"> клиренс). Усиление </w:t>
      </w:r>
      <w:proofErr w:type="spellStart"/>
      <w:r>
        <w:t>мукоцилиарного</w:t>
      </w:r>
      <w:proofErr w:type="spellEnd"/>
      <w:r>
        <w:t xml:space="preserve"> клиренса улучшает отхождение мокроты и облегчает кашель. </w:t>
      </w:r>
    </w:p>
    <w:p w:rsidR="00B43812" w:rsidRPr="00E97811" w:rsidRDefault="00DB4F50" w:rsidP="00024AB0">
      <w:pPr>
        <w:spacing w:line="360" w:lineRule="auto"/>
        <w:jc w:val="both"/>
        <w:rPr>
          <w:b/>
        </w:rPr>
      </w:pPr>
      <w:proofErr w:type="spellStart"/>
      <w:r w:rsidRPr="00E97811">
        <w:rPr>
          <w:b/>
        </w:rPr>
        <w:t>Фармакокинетика</w:t>
      </w:r>
      <w:proofErr w:type="spellEnd"/>
      <w:r w:rsidRPr="00E97811">
        <w:rPr>
          <w:b/>
        </w:rPr>
        <w:t>.</w:t>
      </w:r>
    </w:p>
    <w:p w:rsidR="00024AB0" w:rsidRPr="00024AB0" w:rsidRDefault="00024AB0" w:rsidP="00024AB0">
      <w:pPr>
        <w:spacing w:line="360" w:lineRule="auto"/>
        <w:rPr>
          <w:i/>
        </w:rPr>
      </w:pPr>
      <w:r w:rsidRPr="00024AB0">
        <w:rPr>
          <w:i/>
        </w:rPr>
        <w:t>Всасывание</w:t>
      </w:r>
    </w:p>
    <w:p w:rsidR="00024AB0" w:rsidRDefault="00024AB0" w:rsidP="00024AB0">
      <w:pPr>
        <w:spacing w:line="360" w:lineRule="auto"/>
      </w:pPr>
      <w:r>
        <w:t xml:space="preserve">Для </w:t>
      </w:r>
      <w:proofErr w:type="spellStart"/>
      <w:r>
        <w:t>амброксола</w:t>
      </w:r>
      <w:proofErr w:type="spellEnd"/>
      <w:r>
        <w:t xml:space="preserve"> характерна быстрая и почти полная абсорбция из желудочно-кишечного тракта с линейной зависимостью от дозы в терапевтическом интервале концентраций. Максимальная концентрация в плазме крови (</w:t>
      </w:r>
      <w:proofErr w:type="spellStart"/>
      <w:r>
        <w:t>Стах</w:t>
      </w:r>
      <w:proofErr w:type="spellEnd"/>
      <w:r>
        <w:t xml:space="preserve">) при приеме внутрь достигается через 1-2,5 часа. </w:t>
      </w:r>
    </w:p>
    <w:p w:rsidR="00024AB0" w:rsidRPr="00024AB0" w:rsidRDefault="00024AB0" w:rsidP="00024AB0">
      <w:pPr>
        <w:spacing w:line="360" w:lineRule="auto"/>
        <w:rPr>
          <w:i/>
        </w:rPr>
      </w:pPr>
      <w:r w:rsidRPr="00024AB0">
        <w:rPr>
          <w:i/>
        </w:rPr>
        <w:t>Распределение</w:t>
      </w:r>
    </w:p>
    <w:p w:rsidR="00024AB0" w:rsidRDefault="00024AB0" w:rsidP="00024AB0">
      <w:pPr>
        <w:spacing w:line="360" w:lineRule="auto"/>
      </w:pPr>
      <w:r>
        <w:t xml:space="preserve">Объем распределения составляет 552 л. В терапевтическом интервале концентраций связывание с белками плазмы крови составляет около 90 %. </w:t>
      </w:r>
      <w:proofErr w:type="spellStart"/>
      <w:r>
        <w:t>Биодоступность</w:t>
      </w:r>
      <w:proofErr w:type="spellEnd"/>
      <w:r>
        <w:t xml:space="preserve"> составляет 70-80 %. Проникает через </w:t>
      </w:r>
      <w:proofErr w:type="spellStart"/>
      <w:r>
        <w:t>гемагоэнцефалический</w:t>
      </w:r>
      <w:proofErr w:type="spellEnd"/>
      <w:r>
        <w:t xml:space="preserve"> барьер, плацентарный барьер, выделяется с грудным молоком. Переход </w:t>
      </w:r>
      <w:proofErr w:type="spellStart"/>
      <w:r>
        <w:t>амброксола</w:t>
      </w:r>
      <w:proofErr w:type="spellEnd"/>
      <w:r>
        <w:t xml:space="preserve"> из крови в ткани при приеме внутрь происходит быстро. Самые высокие концентрации активного компонента препарата наблюдаются в легких. </w:t>
      </w:r>
    </w:p>
    <w:p w:rsidR="00024AB0" w:rsidRPr="00024AB0" w:rsidRDefault="00024AB0" w:rsidP="00024AB0">
      <w:pPr>
        <w:spacing w:line="360" w:lineRule="auto"/>
        <w:rPr>
          <w:i/>
        </w:rPr>
      </w:pPr>
      <w:r w:rsidRPr="00024AB0">
        <w:rPr>
          <w:i/>
        </w:rPr>
        <w:t>Метаболизм</w:t>
      </w:r>
    </w:p>
    <w:p w:rsidR="00024AB0" w:rsidRDefault="00024AB0" w:rsidP="00024AB0">
      <w:pPr>
        <w:spacing w:line="360" w:lineRule="auto"/>
      </w:pPr>
      <w:r>
        <w:t>Примерно 30 % от принятой дозы подвергается эффекту «первичного прохождения» через печень. Исследования на микросомах печени человека показали, что изофермент СУРЗ</w:t>
      </w:r>
      <w:r w:rsidR="003B7F3B">
        <w:t>А</w:t>
      </w:r>
      <w:r>
        <w:t xml:space="preserve">4 является преобладающим изоферментом, ответственным за метаболизм </w:t>
      </w:r>
      <w:proofErr w:type="spellStart"/>
      <w:r>
        <w:t>амброксола</w:t>
      </w:r>
      <w:proofErr w:type="spellEnd"/>
      <w:r>
        <w:t xml:space="preserve"> до </w:t>
      </w:r>
      <w:proofErr w:type="spellStart"/>
      <w:r>
        <w:t>дибромантраниловой</w:t>
      </w:r>
      <w:proofErr w:type="spellEnd"/>
      <w:r>
        <w:t xml:space="preserve"> кислоты. Оставшаяся часть </w:t>
      </w:r>
      <w:proofErr w:type="spellStart"/>
      <w:r>
        <w:t>амброксола</w:t>
      </w:r>
      <w:proofErr w:type="spellEnd"/>
      <w:r>
        <w:t xml:space="preserve"> </w:t>
      </w:r>
      <w:proofErr w:type="spellStart"/>
      <w:r>
        <w:t>метаболизируется</w:t>
      </w:r>
      <w:proofErr w:type="spellEnd"/>
      <w:r>
        <w:t xml:space="preserve"> в печени, главным образом с образованием </w:t>
      </w:r>
      <w:proofErr w:type="spellStart"/>
      <w:r>
        <w:t>глюкуроновых</w:t>
      </w:r>
      <w:proofErr w:type="spellEnd"/>
      <w:r>
        <w:t xml:space="preserve"> </w:t>
      </w:r>
      <w:proofErr w:type="spellStart"/>
      <w:r>
        <w:t>конъюгатов</w:t>
      </w:r>
      <w:proofErr w:type="spellEnd"/>
      <w:r>
        <w:t xml:space="preserve"> и путем частичного расщепления до </w:t>
      </w:r>
      <w:proofErr w:type="spellStart"/>
      <w:r>
        <w:t>дибромантраниловой</w:t>
      </w:r>
      <w:proofErr w:type="spellEnd"/>
      <w:r>
        <w:t xml:space="preserve"> кислоты (приблизительно 10 % от введенной дозы), а также небольшого количества дополнительных метаболитов. </w:t>
      </w:r>
    </w:p>
    <w:p w:rsidR="00024AB0" w:rsidRPr="00024AB0" w:rsidRDefault="00024AB0" w:rsidP="00024AB0">
      <w:pPr>
        <w:spacing w:line="360" w:lineRule="auto"/>
        <w:rPr>
          <w:i/>
        </w:rPr>
      </w:pPr>
      <w:r w:rsidRPr="00024AB0">
        <w:rPr>
          <w:i/>
        </w:rPr>
        <w:t>Выведение</w:t>
      </w:r>
    </w:p>
    <w:p w:rsidR="00024AB0" w:rsidRDefault="00024AB0" w:rsidP="00024AB0">
      <w:pPr>
        <w:spacing w:line="360" w:lineRule="auto"/>
      </w:pPr>
      <w:r>
        <w:t xml:space="preserve">Терминальный период полувыведения </w:t>
      </w:r>
      <w:proofErr w:type="spellStart"/>
      <w:r>
        <w:t>амброксола</w:t>
      </w:r>
      <w:proofErr w:type="spellEnd"/>
      <w:r>
        <w:t xml:space="preserve"> составляет 10 часов. Общий период полувыведения </w:t>
      </w:r>
      <w:proofErr w:type="spellStart"/>
      <w:r>
        <w:t>амброксола</w:t>
      </w:r>
      <w:proofErr w:type="spellEnd"/>
      <w:r>
        <w:t xml:space="preserve"> и его метаболитов составляет около 22 часов. Общий клиренс находится в пределах 660 мл/мин. Выводится мочками: 90 % в виде </w:t>
      </w:r>
      <w:proofErr w:type="gramStart"/>
      <w:r>
        <w:t xml:space="preserve">метаболитов, </w:t>
      </w:r>
      <w:r w:rsidR="00713594">
        <w:t xml:space="preserve">  </w:t>
      </w:r>
      <w:proofErr w:type="gramEnd"/>
      <w:r w:rsidR="00713594">
        <w:t xml:space="preserve">        около </w:t>
      </w:r>
      <w:r>
        <w:t>10 % - в неизменном виде.</w:t>
      </w:r>
    </w:p>
    <w:p w:rsidR="00024AB0" w:rsidRDefault="00024AB0" w:rsidP="00024AB0">
      <w:pPr>
        <w:spacing w:line="360" w:lineRule="auto"/>
      </w:pPr>
      <w:proofErr w:type="spellStart"/>
      <w:r w:rsidRPr="00024AB0">
        <w:rPr>
          <w:b/>
        </w:rPr>
        <w:t>Фармакокинетика</w:t>
      </w:r>
      <w:proofErr w:type="spellEnd"/>
      <w:r w:rsidRPr="00024AB0">
        <w:rPr>
          <w:b/>
        </w:rPr>
        <w:t xml:space="preserve"> у особых групп пациентов</w:t>
      </w:r>
      <w:r>
        <w:t xml:space="preserve"> </w:t>
      </w:r>
    </w:p>
    <w:p w:rsidR="00024AB0" w:rsidRPr="00024AB0" w:rsidRDefault="00024AB0" w:rsidP="00024AB0">
      <w:pPr>
        <w:spacing w:line="360" w:lineRule="auto"/>
        <w:rPr>
          <w:i/>
        </w:rPr>
      </w:pPr>
      <w:r w:rsidRPr="00024AB0">
        <w:rPr>
          <w:i/>
        </w:rPr>
        <w:t>Пациенты с нарушениями функции почек</w:t>
      </w:r>
    </w:p>
    <w:p w:rsidR="00024AB0" w:rsidRDefault="00024AB0" w:rsidP="00024AB0">
      <w:pPr>
        <w:spacing w:line="360" w:lineRule="auto"/>
      </w:pPr>
      <w:r>
        <w:t xml:space="preserve">При нарушениях функции почек тяжелой степени (клиренс </w:t>
      </w:r>
      <w:proofErr w:type="spellStart"/>
      <w:r>
        <w:t>креатинина</w:t>
      </w:r>
      <w:proofErr w:type="spellEnd"/>
      <w:r>
        <w:t xml:space="preserve"> менее 30 мл/мин) возможно накопление метаболитов </w:t>
      </w:r>
      <w:proofErr w:type="spellStart"/>
      <w:r>
        <w:t>амброксола</w:t>
      </w:r>
      <w:proofErr w:type="spellEnd"/>
      <w:r>
        <w:t>.</w:t>
      </w:r>
    </w:p>
    <w:p w:rsidR="00024AB0" w:rsidRDefault="00024AB0" w:rsidP="00024AB0">
      <w:pPr>
        <w:spacing w:line="360" w:lineRule="auto"/>
      </w:pPr>
      <w:r>
        <w:t xml:space="preserve">Ввиду высокой степени связывания с белками плазмы крови и значительного объема распределения, а также медленного перераспределения из тканей в кровь, эффективная </w:t>
      </w:r>
      <w:r>
        <w:lastRenderedPageBreak/>
        <w:t xml:space="preserve">элиминация </w:t>
      </w:r>
      <w:proofErr w:type="spellStart"/>
      <w:r>
        <w:t>амброксола</w:t>
      </w:r>
      <w:proofErr w:type="spellEnd"/>
      <w:r>
        <w:t xml:space="preserve"> посредством диализа или форсированного диуреза маловероятна. </w:t>
      </w:r>
      <w:r w:rsidRPr="00024AB0">
        <w:rPr>
          <w:i/>
        </w:rPr>
        <w:t>Пациенты с нарушениями функции печени</w:t>
      </w:r>
    </w:p>
    <w:p w:rsidR="00024AB0" w:rsidRDefault="00024AB0" w:rsidP="00024AB0">
      <w:pPr>
        <w:spacing w:line="360" w:lineRule="auto"/>
      </w:pPr>
      <w:r>
        <w:t xml:space="preserve">При печеночной недостаточности тяжелой степени клиренс </w:t>
      </w:r>
      <w:proofErr w:type="spellStart"/>
      <w:r>
        <w:t>амброксола</w:t>
      </w:r>
      <w:proofErr w:type="spellEnd"/>
      <w:r>
        <w:t xml:space="preserve"> снижается на</w:t>
      </w:r>
      <w:r w:rsidR="00713594">
        <w:t xml:space="preserve">    </w:t>
      </w:r>
      <w:r>
        <w:t xml:space="preserve"> 20-40 %. </w:t>
      </w:r>
    </w:p>
    <w:p w:rsidR="00024AB0" w:rsidRPr="00024AB0" w:rsidRDefault="00024AB0" w:rsidP="00024AB0">
      <w:pPr>
        <w:spacing w:line="360" w:lineRule="auto"/>
        <w:rPr>
          <w:i/>
        </w:rPr>
      </w:pPr>
      <w:r w:rsidRPr="00024AB0">
        <w:rPr>
          <w:i/>
        </w:rPr>
        <w:t>Возраст, пол</w:t>
      </w:r>
    </w:p>
    <w:p w:rsidR="00024AB0" w:rsidRDefault="00024AB0" w:rsidP="00024AB0">
      <w:pPr>
        <w:spacing w:line="360" w:lineRule="auto"/>
      </w:pPr>
      <w:r>
        <w:t xml:space="preserve">Не обнаружено клинически значимого влияния возраста и пола на </w:t>
      </w:r>
      <w:proofErr w:type="spellStart"/>
      <w:r>
        <w:t>фармакокинегику</w:t>
      </w:r>
      <w:proofErr w:type="spellEnd"/>
      <w:r>
        <w:t xml:space="preserve"> </w:t>
      </w:r>
      <w:proofErr w:type="spellStart"/>
      <w:r>
        <w:t>амброксола</w:t>
      </w:r>
      <w:proofErr w:type="spellEnd"/>
      <w:r>
        <w:t>, поэтому нет оснований для подбора дозы по этим признакам.</w:t>
      </w:r>
    </w:p>
    <w:p w:rsidR="007E28DF" w:rsidRPr="00A84AAB" w:rsidRDefault="007E28DF" w:rsidP="00024AB0">
      <w:pPr>
        <w:spacing w:line="360" w:lineRule="auto"/>
        <w:rPr>
          <w:b/>
        </w:rPr>
      </w:pPr>
      <w:r w:rsidRPr="00A84AAB">
        <w:rPr>
          <w:b/>
        </w:rPr>
        <w:t xml:space="preserve">Показания к применению: </w:t>
      </w:r>
    </w:p>
    <w:p w:rsidR="00024AB0" w:rsidRDefault="00024AB0" w:rsidP="00024AB0">
      <w:pPr>
        <w:spacing w:line="360" w:lineRule="auto"/>
        <w:jc w:val="both"/>
      </w:pPr>
      <w:r>
        <w:t>Острые и хронические заболевания дыхательных путей с выделением вязкой мокроты:</w:t>
      </w:r>
    </w:p>
    <w:p w:rsidR="00024AB0" w:rsidRDefault="00024AB0" w:rsidP="00024AB0">
      <w:pPr>
        <w:spacing w:line="360" w:lineRule="auto"/>
        <w:jc w:val="both"/>
      </w:pPr>
      <w:r>
        <w:t>-</w:t>
      </w:r>
      <w:r>
        <w:tab/>
        <w:t>острый и хронический бронхит;</w:t>
      </w:r>
    </w:p>
    <w:p w:rsidR="00024AB0" w:rsidRDefault="00024AB0" w:rsidP="00024AB0">
      <w:pPr>
        <w:spacing w:line="360" w:lineRule="auto"/>
        <w:jc w:val="both"/>
      </w:pPr>
      <w:r>
        <w:t>-</w:t>
      </w:r>
      <w:r>
        <w:tab/>
        <w:t>пневмония;</w:t>
      </w:r>
    </w:p>
    <w:p w:rsidR="00024AB0" w:rsidRDefault="00024AB0" w:rsidP="00024AB0">
      <w:pPr>
        <w:spacing w:line="360" w:lineRule="auto"/>
        <w:jc w:val="both"/>
      </w:pPr>
      <w:r>
        <w:t>-</w:t>
      </w:r>
      <w:r>
        <w:tab/>
        <w:t xml:space="preserve">хроническая </w:t>
      </w:r>
      <w:proofErr w:type="spellStart"/>
      <w:r>
        <w:t>обструктивная</w:t>
      </w:r>
      <w:proofErr w:type="spellEnd"/>
      <w:r>
        <w:t xml:space="preserve"> болезнь легких;</w:t>
      </w:r>
    </w:p>
    <w:p w:rsidR="00024AB0" w:rsidRDefault="00024AB0" w:rsidP="00024AB0">
      <w:pPr>
        <w:spacing w:line="360" w:lineRule="auto"/>
        <w:jc w:val="both"/>
      </w:pPr>
      <w:r>
        <w:t>-</w:t>
      </w:r>
      <w:r>
        <w:tab/>
        <w:t>бронхиальная астма с затруднением отхождения мокроты;</w:t>
      </w:r>
    </w:p>
    <w:p w:rsidR="00F66A42" w:rsidRPr="00A84AAB" w:rsidRDefault="00024AB0" w:rsidP="00024AB0">
      <w:pPr>
        <w:spacing w:line="360" w:lineRule="auto"/>
        <w:jc w:val="both"/>
      </w:pPr>
      <w:r>
        <w:t>-</w:t>
      </w:r>
      <w:r>
        <w:tab/>
        <w:t>бронхоэктатическая болезнь.</w:t>
      </w:r>
    </w:p>
    <w:p w:rsidR="007E28DF" w:rsidRPr="00A84AAB" w:rsidRDefault="007E28DF" w:rsidP="007E28DF">
      <w:pPr>
        <w:spacing w:line="360" w:lineRule="auto"/>
        <w:rPr>
          <w:b/>
        </w:rPr>
      </w:pPr>
      <w:r w:rsidRPr="00A84AAB">
        <w:rPr>
          <w:b/>
        </w:rPr>
        <w:t xml:space="preserve">Противопоказания </w:t>
      </w:r>
    </w:p>
    <w:p w:rsidR="00024AB0" w:rsidRDefault="00024AB0" w:rsidP="00024AB0">
      <w:pPr>
        <w:spacing w:line="360" w:lineRule="auto"/>
        <w:jc w:val="both"/>
      </w:pPr>
      <w:r>
        <w:t>-</w:t>
      </w:r>
      <w:r>
        <w:tab/>
        <w:t xml:space="preserve">повышенная чувствительность к </w:t>
      </w:r>
      <w:proofErr w:type="spellStart"/>
      <w:r>
        <w:t>амброксолу</w:t>
      </w:r>
      <w:proofErr w:type="spellEnd"/>
      <w:r>
        <w:t xml:space="preserve"> или другим компонентам препарата;</w:t>
      </w:r>
    </w:p>
    <w:p w:rsidR="00024AB0" w:rsidRDefault="00024AB0" w:rsidP="00024AB0">
      <w:pPr>
        <w:spacing w:line="360" w:lineRule="auto"/>
        <w:jc w:val="both"/>
      </w:pPr>
      <w:r>
        <w:t>-</w:t>
      </w:r>
      <w:r>
        <w:tab/>
        <w:t>беременность (I триместр);</w:t>
      </w:r>
    </w:p>
    <w:p w:rsidR="00024AB0" w:rsidRDefault="00024AB0" w:rsidP="00024AB0">
      <w:pPr>
        <w:spacing w:line="360" w:lineRule="auto"/>
        <w:jc w:val="both"/>
      </w:pPr>
      <w:r>
        <w:t>-</w:t>
      </w:r>
      <w:r>
        <w:tab/>
        <w:t>период грудного вскармливания;</w:t>
      </w:r>
    </w:p>
    <w:p w:rsidR="00024AB0" w:rsidRDefault="00024AB0" w:rsidP="00024AB0">
      <w:pPr>
        <w:spacing w:line="360" w:lineRule="auto"/>
        <w:jc w:val="both"/>
      </w:pPr>
      <w:r>
        <w:t>-</w:t>
      </w:r>
      <w:r>
        <w:tab/>
        <w:t>непереносимость фруктозы (препарат содержит сорбитол);</w:t>
      </w:r>
    </w:p>
    <w:p w:rsidR="007E28DF" w:rsidRPr="00A84AAB" w:rsidRDefault="00024AB0" w:rsidP="00024AB0">
      <w:pPr>
        <w:spacing w:line="360" w:lineRule="auto"/>
        <w:jc w:val="both"/>
      </w:pPr>
      <w:r>
        <w:t>-</w:t>
      </w:r>
      <w:r>
        <w:tab/>
        <w:t>детский возраст до 6 лет.</w:t>
      </w:r>
    </w:p>
    <w:p w:rsidR="007E28DF" w:rsidRPr="00F66A42" w:rsidRDefault="007E28DF" w:rsidP="007E28DF">
      <w:pPr>
        <w:spacing w:line="360" w:lineRule="auto"/>
        <w:jc w:val="both"/>
      </w:pPr>
      <w:r w:rsidRPr="00F66A42">
        <w:rPr>
          <w:b/>
        </w:rPr>
        <w:t>С осторожностью:</w:t>
      </w:r>
      <w:r w:rsidRPr="00F66A42">
        <w:t xml:space="preserve"> </w:t>
      </w:r>
    </w:p>
    <w:p w:rsidR="00024AB0" w:rsidRDefault="00024AB0" w:rsidP="00024AB0">
      <w:pPr>
        <w:spacing w:line="360" w:lineRule="auto"/>
        <w:jc w:val="both"/>
      </w:pPr>
      <w:r>
        <w:t>-</w:t>
      </w:r>
      <w:r>
        <w:tab/>
        <w:t>нарушение моторной функции бронхов и повышенное образование мокроты (при синдроме неподвижных ресничек);</w:t>
      </w:r>
    </w:p>
    <w:p w:rsidR="00024AB0" w:rsidRDefault="00024AB0" w:rsidP="00024AB0">
      <w:pPr>
        <w:spacing w:line="360" w:lineRule="auto"/>
        <w:jc w:val="both"/>
      </w:pPr>
      <w:r>
        <w:t>-</w:t>
      </w:r>
      <w:r>
        <w:tab/>
        <w:t>язвенная болезнь желудка и 12-перстной кишки в период обострения;</w:t>
      </w:r>
    </w:p>
    <w:p w:rsidR="00024AB0" w:rsidRDefault="00024AB0" w:rsidP="00024AB0">
      <w:pPr>
        <w:spacing w:line="360" w:lineRule="auto"/>
        <w:jc w:val="both"/>
      </w:pPr>
      <w:r>
        <w:t>-</w:t>
      </w:r>
      <w:r>
        <w:tab/>
        <w:t>беременность (II и III триместры);</w:t>
      </w:r>
    </w:p>
    <w:p w:rsidR="00024AB0" w:rsidRDefault="00024AB0" w:rsidP="00024AB0">
      <w:pPr>
        <w:spacing w:line="360" w:lineRule="auto"/>
        <w:jc w:val="both"/>
      </w:pPr>
      <w:r>
        <w:t>-</w:t>
      </w:r>
      <w:r>
        <w:tab/>
        <w:t>почечная недостаточность;</w:t>
      </w:r>
    </w:p>
    <w:p w:rsidR="00024AB0" w:rsidRDefault="00024AB0" w:rsidP="00024AB0">
      <w:pPr>
        <w:spacing w:line="360" w:lineRule="auto"/>
        <w:jc w:val="both"/>
      </w:pPr>
      <w:r>
        <w:t>-</w:t>
      </w:r>
      <w:r>
        <w:tab/>
        <w:t>печеночная недостаточность тяжелой степени.</w:t>
      </w:r>
    </w:p>
    <w:p w:rsidR="007E28DF" w:rsidRPr="00A84AAB" w:rsidRDefault="00024AB0" w:rsidP="00024AB0">
      <w:pPr>
        <w:spacing w:line="360" w:lineRule="auto"/>
        <w:jc w:val="both"/>
      </w:pPr>
      <w:r>
        <w:t>Пациенты с нарушениями функции почек или тяжелыми заболеваниями печени должны принимать препарат Амброксол с особой осторожностью, соблюдая большие интервалы между приемами препарата или принимая препарат в меньшей дозе (половина рекомендованной дозы для взрослых).</w:t>
      </w:r>
    </w:p>
    <w:p w:rsidR="007E28DF" w:rsidRPr="00A84AAB" w:rsidRDefault="007E28DF" w:rsidP="007E28DF">
      <w:pPr>
        <w:spacing w:line="360" w:lineRule="auto"/>
        <w:jc w:val="both"/>
        <w:rPr>
          <w:b/>
        </w:rPr>
      </w:pPr>
      <w:r w:rsidRPr="00A84AAB">
        <w:rPr>
          <w:b/>
        </w:rPr>
        <w:t>Применение при беременности и в период грудного вскармливания:</w:t>
      </w:r>
    </w:p>
    <w:p w:rsidR="00024AB0" w:rsidRPr="00024AB0" w:rsidRDefault="00024AB0" w:rsidP="00024AB0">
      <w:pPr>
        <w:spacing w:line="360" w:lineRule="auto"/>
        <w:jc w:val="both"/>
        <w:rPr>
          <w:i/>
        </w:rPr>
      </w:pPr>
      <w:r w:rsidRPr="00024AB0">
        <w:rPr>
          <w:i/>
        </w:rPr>
        <w:t>Беременность</w:t>
      </w:r>
    </w:p>
    <w:p w:rsidR="00024AB0" w:rsidRDefault="00024AB0" w:rsidP="00024AB0">
      <w:pPr>
        <w:spacing w:line="360" w:lineRule="auto"/>
        <w:jc w:val="both"/>
      </w:pPr>
      <w:r>
        <w:t>Амброксол проникает через плацентарный барьер.</w:t>
      </w:r>
    </w:p>
    <w:p w:rsidR="00024AB0" w:rsidRDefault="00024AB0" w:rsidP="00024AB0">
      <w:pPr>
        <w:spacing w:line="360" w:lineRule="auto"/>
        <w:jc w:val="both"/>
      </w:pPr>
      <w:r>
        <w:lastRenderedPageBreak/>
        <w:t>Доклинические исследования не выявили прямого или косвенного неблагоприятного влияния на беременность, эмбриональное/фетальное, постнатальное развитие и на родовую деятельность.</w:t>
      </w:r>
    </w:p>
    <w:p w:rsidR="00024AB0" w:rsidRDefault="00024AB0" w:rsidP="00024AB0">
      <w:pPr>
        <w:spacing w:line="360" w:lineRule="auto"/>
        <w:jc w:val="both"/>
      </w:pPr>
      <w:r>
        <w:t xml:space="preserve">Обширный клинический опыт применения </w:t>
      </w:r>
      <w:proofErr w:type="spellStart"/>
      <w:r>
        <w:t>амброксола</w:t>
      </w:r>
      <w:proofErr w:type="spellEnd"/>
      <w:r>
        <w:t xml:space="preserve"> после 28 недель беременности не обнаружил свидетельств отрицательного влияния на плод.</w:t>
      </w:r>
    </w:p>
    <w:p w:rsidR="00024AB0" w:rsidRDefault="00024AB0" w:rsidP="00024AB0">
      <w:pPr>
        <w:spacing w:line="360" w:lineRule="auto"/>
        <w:jc w:val="both"/>
      </w:pPr>
      <w:r>
        <w:t xml:space="preserve">Тем не менее, необходимо соблюдать обычные меры предосторожности при использовании лекарственных препаратов во время беременности. Применение препарата Амброксол в I триместре беременности противопоказано. Во II и III триместрах беременности применение препарата возможно только в том случае, если потенциальная польза для матери превышает потенциальный риск для плода. </w:t>
      </w:r>
    </w:p>
    <w:p w:rsidR="00024AB0" w:rsidRPr="00024AB0" w:rsidRDefault="00024AB0" w:rsidP="00024AB0">
      <w:pPr>
        <w:spacing w:line="360" w:lineRule="auto"/>
        <w:jc w:val="both"/>
        <w:rPr>
          <w:i/>
        </w:rPr>
      </w:pPr>
      <w:r w:rsidRPr="00024AB0">
        <w:rPr>
          <w:i/>
        </w:rPr>
        <w:t>Период грудного вскармливания</w:t>
      </w:r>
    </w:p>
    <w:p w:rsidR="00024AB0" w:rsidRDefault="00024AB0" w:rsidP="00024AB0">
      <w:pPr>
        <w:spacing w:line="360" w:lineRule="auto"/>
        <w:jc w:val="both"/>
      </w:pPr>
      <w:proofErr w:type="spellStart"/>
      <w:r>
        <w:t>Амброксол</w:t>
      </w:r>
      <w:proofErr w:type="spellEnd"/>
      <w:r>
        <w:t xml:space="preserve"> может </w:t>
      </w:r>
      <w:proofErr w:type="spellStart"/>
      <w:r>
        <w:t>экскретироваться</w:t>
      </w:r>
      <w:proofErr w:type="spellEnd"/>
      <w:r>
        <w:t xml:space="preserve"> с грудным молоком. Несмотря на то, что нежелательные эффекты у детей, получающих кормление грудью, не наблюдались, при необходимости применения препарата грудное вскармливание необходимо прекратить. </w:t>
      </w:r>
      <w:r w:rsidRPr="00024AB0">
        <w:rPr>
          <w:i/>
        </w:rPr>
        <w:t>Фертильность</w:t>
      </w:r>
    </w:p>
    <w:p w:rsidR="007E28DF" w:rsidRPr="00A84AAB" w:rsidRDefault="00024AB0" w:rsidP="00024AB0">
      <w:pPr>
        <w:spacing w:line="360" w:lineRule="auto"/>
        <w:jc w:val="both"/>
      </w:pPr>
      <w:r>
        <w:t xml:space="preserve">Доклинические исследования </w:t>
      </w:r>
      <w:proofErr w:type="spellStart"/>
      <w:r>
        <w:t>амброксола</w:t>
      </w:r>
      <w:proofErr w:type="spellEnd"/>
      <w:r>
        <w:t xml:space="preserve"> не выявили отрицательного воздействия на фертильность.</w:t>
      </w:r>
    </w:p>
    <w:p w:rsidR="007E28DF" w:rsidRPr="00A84AAB" w:rsidRDefault="007E28DF" w:rsidP="007E28DF">
      <w:pPr>
        <w:spacing w:line="360" w:lineRule="auto"/>
        <w:rPr>
          <w:b/>
        </w:rPr>
      </w:pPr>
      <w:r w:rsidRPr="00A84AAB">
        <w:rPr>
          <w:b/>
        </w:rPr>
        <w:t xml:space="preserve">Способ применения и дозы </w:t>
      </w:r>
    </w:p>
    <w:p w:rsidR="00166E80" w:rsidRDefault="00F66A42" w:rsidP="007E28DF">
      <w:pPr>
        <w:spacing w:line="360" w:lineRule="auto"/>
      </w:pPr>
      <w:r w:rsidRPr="00DA3F6F">
        <w:t>Внутрь</w:t>
      </w:r>
      <w:r w:rsidR="00065E5E">
        <w:t xml:space="preserve">, после еды. </w:t>
      </w:r>
      <w:proofErr w:type="spellStart"/>
      <w:r w:rsidR="00065E5E">
        <w:t>Муколитический</w:t>
      </w:r>
      <w:proofErr w:type="spellEnd"/>
      <w:r w:rsidR="00065E5E">
        <w:t xml:space="preserve"> эффект препарата проявляется при приеме большого количества жидкости. Поэтому во время лечения рекомендуется обильное питье. Препарат не следует применять непосредственно перед сном. Для дозирования используют прилагаемый мерный стаканчик (мерную ложку).</w:t>
      </w:r>
    </w:p>
    <w:p w:rsidR="00065E5E" w:rsidRPr="00DA3F6F" w:rsidRDefault="00065E5E" w:rsidP="007E28DF">
      <w:pPr>
        <w:spacing w:line="360" w:lineRule="auto"/>
      </w:pPr>
      <w:r>
        <w:t xml:space="preserve">В 5 мл препарата содержится 30 мг </w:t>
      </w:r>
      <w:proofErr w:type="spellStart"/>
      <w:r>
        <w:t>амброксола</w:t>
      </w:r>
      <w:proofErr w:type="spellEnd"/>
      <w:r>
        <w:t>.</w:t>
      </w:r>
    </w:p>
    <w:p w:rsidR="00065E5E" w:rsidRDefault="00DA3F6F" w:rsidP="007E28DF">
      <w:pPr>
        <w:spacing w:line="360" w:lineRule="auto"/>
        <w:rPr>
          <w:b/>
        </w:rPr>
      </w:pPr>
      <w:r w:rsidRPr="00DA3F6F">
        <w:rPr>
          <w:b/>
        </w:rPr>
        <w:t>Взрослы</w:t>
      </w:r>
      <w:r w:rsidR="00065E5E">
        <w:rPr>
          <w:b/>
        </w:rPr>
        <w:t>е</w:t>
      </w:r>
      <w:r w:rsidRPr="00DA3F6F">
        <w:rPr>
          <w:b/>
        </w:rPr>
        <w:t xml:space="preserve"> и дет</w:t>
      </w:r>
      <w:r w:rsidR="00065E5E">
        <w:rPr>
          <w:b/>
        </w:rPr>
        <w:t>и</w:t>
      </w:r>
      <w:r w:rsidRPr="00DA3F6F">
        <w:rPr>
          <w:b/>
        </w:rPr>
        <w:t xml:space="preserve"> старше 12 лет</w:t>
      </w:r>
      <w:r w:rsidR="00065E5E">
        <w:rPr>
          <w:b/>
        </w:rPr>
        <w:t>.</w:t>
      </w:r>
    </w:p>
    <w:p w:rsidR="00DA3F6F" w:rsidRPr="00DA3F6F" w:rsidRDefault="00065E5E" w:rsidP="007E28DF">
      <w:pPr>
        <w:spacing w:line="360" w:lineRule="auto"/>
      </w:pPr>
      <w:r w:rsidRPr="00065E5E">
        <w:t>В течение</w:t>
      </w:r>
      <w:r w:rsidR="00DA3F6F" w:rsidRPr="00065E5E">
        <w:t xml:space="preserve"> </w:t>
      </w:r>
      <w:r>
        <w:t xml:space="preserve">первых 2-3 дней принимают </w:t>
      </w:r>
      <w:r w:rsidR="00DA3F6F" w:rsidRPr="00065E5E">
        <w:t>по 5 мл</w:t>
      </w:r>
      <w:r>
        <w:t xml:space="preserve"> (30 мг) препарата</w:t>
      </w:r>
      <w:r w:rsidR="00DA3F6F" w:rsidRPr="00DA3F6F">
        <w:t xml:space="preserve"> 3 раза</w:t>
      </w:r>
      <w:r w:rsidR="00DA3F6F">
        <w:t xml:space="preserve"> </w:t>
      </w:r>
      <w:r w:rsidR="00F9777B">
        <w:t xml:space="preserve">в </w:t>
      </w:r>
      <w:r>
        <w:t>день, затем</w:t>
      </w:r>
      <w:r w:rsidR="002F0E6E">
        <w:t xml:space="preserve"> дозу следует уменьшить до 5 мл (30 мг) препарата 2 раза в день</w:t>
      </w:r>
      <w:r w:rsidR="00F9777B">
        <w:t xml:space="preserve">. </w:t>
      </w:r>
    </w:p>
    <w:p w:rsidR="002F0E6E" w:rsidRDefault="002F0E6E" w:rsidP="007E28DF">
      <w:pPr>
        <w:spacing w:line="360" w:lineRule="auto"/>
        <w:rPr>
          <w:b/>
        </w:rPr>
      </w:pPr>
      <w:r>
        <w:rPr>
          <w:b/>
        </w:rPr>
        <w:t>Д</w:t>
      </w:r>
      <w:r w:rsidR="00DA3F6F" w:rsidRPr="00DA3F6F">
        <w:rPr>
          <w:b/>
        </w:rPr>
        <w:t>ет</w:t>
      </w:r>
      <w:r>
        <w:rPr>
          <w:b/>
        </w:rPr>
        <w:t>и</w:t>
      </w:r>
      <w:r w:rsidR="00DA3F6F" w:rsidRPr="00DA3F6F">
        <w:rPr>
          <w:b/>
        </w:rPr>
        <w:t xml:space="preserve"> от 6 до 12 лет</w:t>
      </w:r>
      <w:r>
        <w:rPr>
          <w:b/>
        </w:rPr>
        <w:t>.</w:t>
      </w:r>
    </w:p>
    <w:p w:rsidR="00DA3F6F" w:rsidRPr="00DA3F6F" w:rsidRDefault="002F0E6E" w:rsidP="007E28DF">
      <w:pPr>
        <w:spacing w:line="360" w:lineRule="auto"/>
      </w:pPr>
      <w:r>
        <w:t>По</w:t>
      </w:r>
      <w:r w:rsidR="00DA3F6F" w:rsidRPr="00DA3F6F">
        <w:t xml:space="preserve"> 2,5 мл </w:t>
      </w:r>
      <w:r>
        <w:t xml:space="preserve">(15 мг) препарата </w:t>
      </w:r>
      <w:r w:rsidR="00DA3F6F" w:rsidRPr="00DA3F6F">
        <w:t xml:space="preserve">2-3 раза </w:t>
      </w:r>
      <w:r>
        <w:t>в день</w:t>
      </w:r>
      <w:r w:rsidR="00DA3F6F" w:rsidRPr="00DA3F6F">
        <w:t>.</w:t>
      </w:r>
    </w:p>
    <w:p w:rsidR="00DA3F6F" w:rsidRDefault="002F0E6E" w:rsidP="007E28DF">
      <w:pPr>
        <w:spacing w:line="360" w:lineRule="auto"/>
      </w:pPr>
      <w:r>
        <w:t xml:space="preserve">Максимальная суточная доза для взрослых – 120 мг </w:t>
      </w:r>
      <w:proofErr w:type="spellStart"/>
      <w:r>
        <w:t>амброксола</w:t>
      </w:r>
      <w:proofErr w:type="spellEnd"/>
      <w:r>
        <w:t xml:space="preserve">; максимальная </w:t>
      </w:r>
      <w:proofErr w:type="spellStart"/>
      <w:r>
        <w:t>сауточная</w:t>
      </w:r>
      <w:proofErr w:type="spellEnd"/>
      <w:r>
        <w:t xml:space="preserve"> доз для детей от 6 до 12 лет – 45 мг </w:t>
      </w:r>
      <w:proofErr w:type="spellStart"/>
      <w:r>
        <w:t>амброксола</w:t>
      </w:r>
      <w:proofErr w:type="spellEnd"/>
      <w:r>
        <w:t>.</w:t>
      </w:r>
    </w:p>
    <w:p w:rsidR="002F0E6E" w:rsidRPr="00DA3F6F" w:rsidRDefault="002F0E6E" w:rsidP="007E28DF">
      <w:pPr>
        <w:spacing w:line="360" w:lineRule="auto"/>
      </w:pPr>
      <w:r>
        <w:t xml:space="preserve">Продолжительность лечения определяется индивидуально в зависимости от течения заболевания. Не рекомендуется принимать </w:t>
      </w:r>
      <w:proofErr w:type="spellStart"/>
      <w:r>
        <w:t>амброксол</w:t>
      </w:r>
      <w:proofErr w:type="spellEnd"/>
      <w:r>
        <w:t xml:space="preserve"> более 4-5 дней без консультации врача.</w:t>
      </w:r>
    </w:p>
    <w:p w:rsidR="000C0567" w:rsidRPr="00DA3F6F" w:rsidRDefault="000C0567" w:rsidP="007E28DF">
      <w:pPr>
        <w:spacing w:line="360" w:lineRule="auto"/>
      </w:pPr>
      <w:r w:rsidRPr="00DA3F6F">
        <w:rPr>
          <w:b/>
        </w:rPr>
        <w:t xml:space="preserve">Побочное действие </w:t>
      </w:r>
    </w:p>
    <w:p w:rsidR="00DA3F6F" w:rsidRDefault="00024AB0" w:rsidP="00024AB0">
      <w:pPr>
        <w:spacing w:line="360" w:lineRule="auto"/>
      </w:pPr>
      <w:r>
        <w:lastRenderedPageBreak/>
        <w:t>Классификация частоты развития побочных эффектов согласно рекомендациям Всемирной организации здравоохранения (ВОЗ): очень часто &gt;1/10;</w:t>
      </w:r>
      <w:r w:rsidR="00DA3F6F">
        <w:t xml:space="preserve"> часто </w:t>
      </w:r>
      <w:r>
        <w:t>от&gt; 1/100 до</w:t>
      </w:r>
      <w:r w:rsidR="00713594">
        <w:t xml:space="preserve">  </w:t>
      </w:r>
      <w:proofErr w:type="gramStart"/>
      <w:r w:rsidR="00713594">
        <w:t xml:space="preserve">  </w:t>
      </w:r>
      <w:r>
        <w:t xml:space="preserve"> &lt;</w:t>
      </w:r>
      <w:proofErr w:type="gramEnd"/>
      <w:r>
        <w:t xml:space="preserve"> 1/10;</w:t>
      </w:r>
      <w:r w:rsidR="00DA3F6F">
        <w:t xml:space="preserve"> </w:t>
      </w:r>
      <w:r>
        <w:t>нечасто от&gt; 1/1000 до &lt; 1/100;</w:t>
      </w:r>
      <w:r w:rsidR="00DA3F6F">
        <w:t xml:space="preserve"> </w:t>
      </w:r>
      <w:r>
        <w:t>редко</w:t>
      </w:r>
      <w:r>
        <w:tab/>
        <w:t>от&gt; 1/10000 до &lt; 1/1000;</w:t>
      </w:r>
      <w:r w:rsidR="00DA3F6F">
        <w:t xml:space="preserve"> </w:t>
      </w:r>
      <w:r>
        <w:t xml:space="preserve">очень редко </w:t>
      </w:r>
      <w:r w:rsidR="00713594">
        <w:t xml:space="preserve">       </w:t>
      </w:r>
      <w:r>
        <w:t>&lt; 1/10000, включая отдельные сообщения;</w:t>
      </w:r>
      <w:r w:rsidR="00DA3F6F">
        <w:t xml:space="preserve"> </w:t>
      </w:r>
      <w:r>
        <w:t xml:space="preserve">частота неизвестна - по имеющимся данным установить частоту возникновения не представляется возможным. </w:t>
      </w:r>
    </w:p>
    <w:p w:rsidR="00FB01F5" w:rsidRDefault="00024AB0" w:rsidP="00FB01F5">
      <w:pPr>
        <w:spacing w:line="360" w:lineRule="auto"/>
        <w:rPr>
          <w:i/>
        </w:rPr>
      </w:pPr>
      <w:r w:rsidRPr="00DA3F6F">
        <w:rPr>
          <w:i/>
        </w:rPr>
        <w:t>Желудочно-кишечные нарушения:</w:t>
      </w:r>
      <w:r>
        <w:t xml:space="preserve"> часто </w:t>
      </w:r>
      <w:r w:rsidR="00FB01F5">
        <w:t>–</w:t>
      </w:r>
      <w:r>
        <w:t xml:space="preserve"> тошнота</w:t>
      </w:r>
      <w:r w:rsidR="00FB01F5">
        <w:t>, снижение чувствительности в полости рта и глотки</w:t>
      </w:r>
      <w:r>
        <w:t>;</w:t>
      </w:r>
      <w:r w:rsidR="00DA3F6F">
        <w:t xml:space="preserve"> </w:t>
      </w:r>
      <w:r>
        <w:t xml:space="preserve">нечасто </w:t>
      </w:r>
      <w:r w:rsidR="00FB01F5">
        <w:t>–</w:t>
      </w:r>
      <w:r>
        <w:t xml:space="preserve">рвота, диарея, </w:t>
      </w:r>
      <w:r w:rsidR="00FB01F5">
        <w:t>диспепсия, боль в животе</w:t>
      </w:r>
      <w:r>
        <w:t>;</w:t>
      </w:r>
      <w:r w:rsidR="00DA3F6F">
        <w:t xml:space="preserve"> </w:t>
      </w:r>
      <w:r w:rsidR="00FB01F5">
        <w:t>редко</w:t>
      </w:r>
      <w:r>
        <w:t xml:space="preserve"> -</w:t>
      </w:r>
      <w:r w:rsidR="00FB01F5">
        <w:t xml:space="preserve"> </w:t>
      </w:r>
      <w:r>
        <w:t>сухость</w:t>
      </w:r>
      <w:r w:rsidR="00DA3F6F">
        <w:t xml:space="preserve"> </w:t>
      </w:r>
      <w:r>
        <w:t>слизистой оболочки полости рта и глотки.</w:t>
      </w:r>
      <w:r w:rsidR="00FB01F5" w:rsidRPr="00FB01F5">
        <w:rPr>
          <w:i/>
        </w:rPr>
        <w:t xml:space="preserve"> </w:t>
      </w:r>
    </w:p>
    <w:p w:rsidR="00FB01F5" w:rsidRDefault="00FB01F5" w:rsidP="00FB01F5">
      <w:pPr>
        <w:spacing w:line="360" w:lineRule="auto"/>
      </w:pPr>
      <w:r w:rsidRPr="00DA3F6F">
        <w:rPr>
          <w:i/>
        </w:rPr>
        <w:t>Нарушения со стороны нервной системы:</w:t>
      </w:r>
      <w:r>
        <w:rPr>
          <w:i/>
        </w:rPr>
        <w:t xml:space="preserve"> </w:t>
      </w:r>
      <w:r>
        <w:t xml:space="preserve">часто - </w:t>
      </w:r>
      <w:proofErr w:type="spellStart"/>
      <w:r>
        <w:t>дисгевзия</w:t>
      </w:r>
      <w:proofErr w:type="spellEnd"/>
      <w:r>
        <w:t xml:space="preserve"> (нарушение вкусовых ощущений). </w:t>
      </w:r>
    </w:p>
    <w:p w:rsidR="00FB01F5" w:rsidRDefault="00FB01F5" w:rsidP="00FB01F5">
      <w:pPr>
        <w:spacing w:line="360" w:lineRule="auto"/>
      </w:pPr>
      <w:r w:rsidRPr="00DA3F6F">
        <w:rPr>
          <w:i/>
        </w:rPr>
        <w:t>Нарушения со стороны иммунной системы:</w:t>
      </w:r>
      <w:r>
        <w:rPr>
          <w:i/>
        </w:rPr>
        <w:t xml:space="preserve"> </w:t>
      </w:r>
      <w:r>
        <w:t xml:space="preserve">редко - реакции гиперчувствительности; частота неизвестна - анафилактические реакции вплоть до развития шока, </w:t>
      </w:r>
      <w:proofErr w:type="spellStart"/>
      <w:r>
        <w:t>ангионеврогический</w:t>
      </w:r>
      <w:proofErr w:type="spellEnd"/>
      <w:r>
        <w:t xml:space="preserve"> отек, кожный зуд. </w:t>
      </w:r>
    </w:p>
    <w:p w:rsidR="00DA3F6F" w:rsidRDefault="00024AB0" w:rsidP="00024AB0">
      <w:pPr>
        <w:spacing w:line="360" w:lineRule="auto"/>
      </w:pPr>
      <w:r w:rsidRPr="00DA3F6F">
        <w:rPr>
          <w:i/>
        </w:rPr>
        <w:t xml:space="preserve">Нарушения со стороны </w:t>
      </w:r>
      <w:r w:rsidR="000C47F3">
        <w:rPr>
          <w:i/>
        </w:rPr>
        <w:t>кожи и подкожных тканей</w:t>
      </w:r>
      <w:r w:rsidRPr="00DA3F6F">
        <w:rPr>
          <w:i/>
        </w:rPr>
        <w:t>:</w:t>
      </w:r>
      <w:r w:rsidR="00FB01F5">
        <w:rPr>
          <w:i/>
        </w:rPr>
        <w:t xml:space="preserve"> </w:t>
      </w:r>
      <w:r>
        <w:t>редко - кожная сыпь, крапивница;</w:t>
      </w:r>
      <w:r w:rsidR="00DA3F6F">
        <w:t xml:space="preserve"> </w:t>
      </w:r>
      <w:r>
        <w:t xml:space="preserve">частота неизвестна </w:t>
      </w:r>
      <w:r w:rsidR="000C47F3">
        <w:t>–</w:t>
      </w:r>
      <w:r>
        <w:t xml:space="preserve"> </w:t>
      </w:r>
      <w:r w:rsidR="000C47F3">
        <w:t xml:space="preserve">тяжелые кожные нежелательные реакции, включая </w:t>
      </w:r>
      <w:proofErr w:type="spellStart"/>
      <w:r w:rsidR="000C47F3">
        <w:t>многоформную</w:t>
      </w:r>
      <w:proofErr w:type="spellEnd"/>
      <w:r w:rsidR="000C47F3">
        <w:t xml:space="preserve"> </w:t>
      </w:r>
      <w:proofErr w:type="spellStart"/>
      <w:r w:rsidR="000C47F3">
        <w:t>эритемк</w:t>
      </w:r>
      <w:proofErr w:type="spellEnd"/>
      <w:r>
        <w:t xml:space="preserve">, синдром </w:t>
      </w:r>
      <w:proofErr w:type="spellStart"/>
      <w:r>
        <w:t>Сгивенса</w:t>
      </w:r>
      <w:proofErr w:type="spellEnd"/>
      <w:r>
        <w:t xml:space="preserve">-Джонсона, </w:t>
      </w:r>
      <w:r w:rsidR="000C47F3">
        <w:t xml:space="preserve">токсический </w:t>
      </w:r>
      <w:proofErr w:type="spellStart"/>
      <w:r w:rsidR="000C47F3">
        <w:t>эпидермальный</w:t>
      </w:r>
      <w:proofErr w:type="spellEnd"/>
      <w:r w:rsidR="000C47F3">
        <w:t xml:space="preserve"> </w:t>
      </w:r>
      <w:proofErr w:type="spellStart"/>
      <w:r w:rsidR="000C47F3">
        <w:t>некролиз</w:t>
      </w:r>
      <w:proofErr w:type="spellEnd"/>
      <w:r w:rsidR="000C47F3">
        <w:t xml:space="preserve"> (</w:t>
      </w:r>
      <w:r>
        <w:t xml:space="preserve">синдром </w:t>
      </w:r>
      <w:proofErr w:type="spellStart"/>
      <w:r>
        <w:t>Лайелла</w:t>
      </w:r>
      <w:proofErr w:type="spellEnd"/>
      <w:r w:rsidR="000C47F3">
        <w:t>)</w:t>
      </w:r>
      <w:r>
        <w:t xml:space="preserve">, острый </w:t>
      </w:r>
      <w:proofErr w:type="spellStart"/>
      <w:r>
        <w:t>генерализованный</w:t>
      </w:r>
      <w:proofErr w:type="spellEnd"/>
      <w:r>
        <w:t xml:space="preserve"> </w:t>
      </w:r>
      <w:proofErr w:type="spellStart"/>
      <w:r>
        <w:t>экзантематозный</w:t>
      </w:r>
      <w:proofErr w:type="spellEnd"/>
      <w:r>
        <w:t xml:space="preserve"> </w:t>
      </w:r>
      <w:proofErr w:type="spellStart"/>
      <w:r>
        <w:t>пустулез</w:t>
      </w:r>
      <w:proofErr w:type="spellEnd"/>
      <w:r>
        <w:t xml:space="preserve">. </w:t>
      </w:r>
    </w:p>
    <w:p w:rsidR="00F2538B" w:rsidRPr="00DA3F6F" w:rsidRDefault="000C47F3" w:rsidP="007E28DF">
      <w:pPr>
        <w:spacing w:line="360" w:lineRule="auto"/>
        <w:rPr>
          <w:i/>
        </w:rPr>
      </w:pPr>
      <w:r>
        <w:t>Если у Вас отмечаются побочные эффекты, указанные в инструкции или они усугубляются, или Вы заметили любые другие побочные эффекты, не указанные в инструкции, сообщите об этом врачу.</w:t>
      </w:r>
    </w:p>
    <w:p w:rsidR="000C0567" w:rsidRPr="00F2538B" w:rsidRDefault="000C0567" w:rsidP="007E28DF">
      <w:pPr>
        <w:spacing w:line="360" w:lineRule="auto"/>
        <w:rPr>
          <w:b/>
        </w:rPr>
      </w:pPr>
      <w:r w:rsidRPr="00F2538B">
        <w:rPr>
          <w:b/>
        </w:rPr>
        <w:t>Передозировка</w:t>
      </w:r>
    </w:p>
    <w:p w:rsidR="00DA3F6F" w:rsidRPr="006C4ACF" w:rsidRDefault="00DA3F6F" w:rsidP="00DA3F6F">
      <w:pPr>
        <w:spacing w:line="360" w:lineRule="auto"/>
      </w:pPr>
      <w:r w:rsidRPr="00DA3F6F">
        <w:rPr>
          <w:i/>
        </w:rPr>
        <w:t>Симптомы</w:t>
      </w:r>
      <w:r w:rsidR="006E3A60">
        <w:rPr>
          <w:i/>
        </w:rPr>
        <w:t xml:space="preserve">: </w:t>
      </w:r>
      <w:r w:rsidR="006E3A60">
        <w:t>сп</w:t>
      </w:r>
      <w:r>
        <w:t xml:space="preserve">ецифических симптомов передозировки </w:t>
      </w:r>
      <w:proofErr w:type="spellStart"/>
      <w:r>
        <w:t>амброксола</w:t>
      </w:r>
      <w:proofErr w:type="spellEnd"/>
      <w:r>
        <w:t xml:space="preserve"> не описано.</w:t>
      </w:r>
    </w:p>
    <w:p w:rsidR="00DA3F6F" w:rsidRPr="006C4ACF" w:rsidRDefault="006C4ACF" w:rsidP="00DA3F6F">
      <w:pPr>
        <w:spacing w:line="360" w:lineRule="auto"/>
      </w:pPr>
      <w:r>
        <w:t xml:space="preserve">Наблюдаемые симптомы передозировки соответствовали известным побочным эффектам </w:t>
      </w:r>
      <w:proofErr w:type="spellStart"/>
      <w:r>
        <w:t>амброксола</w:t>
      </w:r>
      <w:proofErr w:type="spellEnd"/>
      <w:r>
        <w:t>, применяемого в рекомендованных дозах (тошнота, рвота, боль в животе, диарея, диспепсия).</w:t>
      </w:r>
    </w:p>
    <w:p w:rsidR="000C0567" w:rsidRDefault="006C4ACF" w:rsidP="00DA3F6F">
      <w:pPr>
        <w:spacing w:line="360" w:lineRule="auto"/>
      </w:pPr>
      <w:r>
        <w:rPr>
          <w:i/>
        </w:rPr>
        <w:t xml:space="preserve">Лечение: </w:t>
      </w:r>
      <w:r w:rsidR="00DA3F6F">
        <w:t>Искусственная рвота, промывание желудка в первые 1-2 часа после приема препарата,</w:t>
      </w:r>
      <w:r>
        <w:t xml:space="preserve"> прием жиросодержащих продуктов;</w:t>
      </w:r>
      <w:r w:rsidR="00DA3F6F">
        <w:t xml:space="preserve"> симптоматическая терапия.</w:t>
      </w:r>
    </w:p>
    <w:p w:rsidR="006C4ACF" w:rsidRPr="00F2538B" w:rsidRDefault="006C4ACF" w:rsidP="00DA3F6F">
      <w:pPr>
        <w:spacing w:line="360" w:lineRule="auto"/>
      </w:pPr>
      <w:r>
        <w:t xml:space="preserve">Из-за высокой степени связывания </w:t>
      </w:r>
      <w:proofErr w:type="spellStart"/>
      <w:r>
        <w:t>амброксола</w:t>
      </w:r>
      <w:proofErr w:type="spellEnd"/>
      <w:r>
        <w:t xml:space="preserve"> с белками плазмы крови (80-90 %), эффективное выведение </w:t>
      </w:r>
      <w:proofErr w:type="spellStart"/>
      <w:r>
        <w:t>амброксола</w:t>
      </w:r>
      <w:proofErr w:type="spellEnd"/>
      <w:r>
        <w:t xml:space="preserve"> путем форсированного диуреза и гемодиализа маловероятно.</w:t>
      </w:r>
    </w:p>
    <w:p w:rsidR="007B2826" w:rsidRDefault="000C0567" w:rsidP="00CE445E">
      <w:pPr>
        <w:spacing w:line="360" w:lineRule="auto"/>
        <w:rPr>
          <w:b/>
        </w:rPr>
      </w:pPr>
      <w:r w:rsidRPr="000C0567">
        <w:rPr>
          <w:b/>
        </w:rPr>
        <w:t>Взаимодействие с другими лекарственными препаратами</w:t>
      </w:r>
    </w:p>
    <w:p w:rsidR="00DA3F6F" w:rsidRDefault="00DA3F6F" w:rsidP="00DA3F6F">
      <w:pPr>
        <w:spacing w:line="360" w:lineRule="auto"/>
      </w:pPr>
      <w:r>
        <w:t>При применении с противокашлевыми препаратами возможно затруднение отхождения мокроты в результате подавления кашлевого рефлекса.</w:t>
      </w:r>
    </w:p>
    <w:p w:rsidR="00634D09" w:rsidRDefault="00DA3F6F" w:rsidP="00DA3F6F">
      <w:pPr>
        <w:spacing w:line="360" w:lineRule="auto"/>
      </w:pPr>
      <w:r>
        <w:t xml:space="preserve">При одновременном применении с амоксициллином, </w:t>
      </w:r>
      <w:proofErr w:type="spellStart"/>
      <w:r>
        <w:t>цефуроксимом</w:t>
      </w:r>
      <w:proofErr w:type="spellEnd"/>
      <w:r>
        <w:t xml:space="preserve">, эритромицином, </w:t>
      </w:r>
      <w:proofErr w:type="spellStart"/>
      <w:r>
        <w:t>доксициклином</w:t>
      </w:r>
      <w:proofErr w:type="spellEnd"/>
      <w:r>
        <w:t xml:space="preserve"> </w:t>
      </w:r>
      <w:proofErr w:type="spellStart"/>
      <w:r>
        <w:t>амброксол</w:t>
      </w:r>
      <w:proofErr w:type="spellEnd"/>
      <w:r>
        <w:t xml:space="preserve"> увеличивает их всасывание в бронхиальный секрет. О </w:t>
      </w:r>
      <w:r>
        <w:lastRenderedPageBreak/>
        <w:t>клинически значимых нежелательных взаимодействиях с другими лекарственными средствами не сообщалось.</w:t>
      </w:r>
    </w:p>
    <w:p w:rsidR="00634D09" w:rsidRPr="00634D09" w:rsidRDefault="00634D09" w:rsidP="00CE445E">
      <w:pPr>
        <w:spacing w:line="360" w:lineRule="auto"/>
        <w:rPr>
          <w:b/>
        </w:rPr>
      </w:pPr>
      <w:r w:rsidRPr="00634D09">
        <w:rPr>
          <w:b/>
        </w:rPr>
        <w:t>Особые указания</w:t>
      </w:r>
    </w:p>
    <w:p w:rsidR="00DA3F6F" w:rsidRDefault="00DA3F6F" w:rsidP="00DA3F6F">
      <w:pPr>
        <w:spacing w:line="360" w:lineRule="auto"/>
      </w:pPr>
      <w:r>
        <w:t>Препарат Амброксол не следует применять совместно с противокашлевыми препаратами, которые могут тормозить кашлевой рефлекс.</w:t>
      </w:r>
    </w:p>
    <w:p w:rsidR="00DA3F6F" w:rsidRDefault="00DA3F6F" w:rsidP="00DA3F6F">
      <w:pPr>
        <w:spacing w:line="360" w:lineRule="auto"/>
      </w:pPr>
      <w:r>
        <w:t>Препарат Амброксол следует с осторожностью применять у</w:t>
      </w:r>
      <w:r w:rsidR="006C4ACF">
        <w:t xml:space="preserve"> детей и</w:t>
      </w:r>
      <w:r>
        <w:t xml:space="preserve"> пациентов с ослабленным кашлевым рефлексом или нарушенным </w:t>
      </w:r>
      <w:proofErr w:type="spellStart"/>
      <w:r>
        <w:t>мукоциллиарным</w:t>
      </w:r>
      <w:proofErr w:type="spellEnd"/>
      <w:r>
        <w:t xml:space="preserve"> транспортом из-за возможности скопления мокроты.</w:t>
      </w:r>
    </w:p>
    <w:p w:rsidR="00DA3F6F" w:rsidRDefault="00DA3F6F" w:rsidP="00DA3F6F">
      <w:pPr>
        <w:spacing w:line="360" w:lineRule="auto"/>
      </w:pPr>
      <w:r>
        <w:t>Пациентам, принимающим препарат Амброксол, не следует рекомендовать выполнение дыхательной гимнастики; у тяжелобольных пациентов следует выполнять аспирацию разжиженной мокроты.</w:t>
      </w:r>
    </w:p>
    <w:p w:rsidR="00DA3F6F" w:rsidRDefault="00DA3F6F" w:rsidP="00DA3F6F">
      <w:pPr>
        <w:spacing w:line="360" w:lineRule="auto"/>
      </w:pPr>
      <w:r>
        <w:t>У пациентов с бронхиальной астмой амброксол может усиливать кашель. Не следует принимать препарат непосредственно перед сном.</w:t>
      </w:r>
    </w:p>
    <w:p w:rsidR="00DA3F6F" w:rsidRDefault="00DA3F6F" w:rsidP="00DA3F6F">
      <w:pPr>
        <w:spacing w:line="360" w:lineRule="auto"/>
      </w:pPr>
      <w:r>
        <w:t xml:space="preserve">Имеются единичные сообщения о тяжелых поражениях кожи, таких как синдром </w:t>
      </w:r>
      <w:proofErr w:type="spellStart"/>
      <w:r>
        <w:t>Стивенса</w:t>
      </w:r>
      <w:proofErr w:type="spellEnd"/>
      <w:r>
        <w:t xml:space="preserve">-Джонсона и токсический </w:t>
      </w:r>
      <w:proofErr w:type="spellStart"/>
      <w:r>
        <w:t>эпидермальный</w:t>
      </w:r>
      <w:proofErr w:type="spellEnd"/>
      <w:r>
        <w:t xml:space="preserve"> </w:t>
      </w:r>
      <w:proofErr w:type="spellStart"/>
      <w:r>
        <w:t>некролиз</w:t>
      </w:r>
      <w:proofErr w:type="spellEnd"/>
      <w:r>
        <w:t xml:space="preserve">, совпавшие по времени с </w:t>
      </w:r>
    </w:p>
    <w:p w:rsidR="00DA3F6F" w:rsidRDefault="00DA3F6F" w:rsidP="00DA3F6F">
      <w:pPr>
        <w:spacing w:line="360" w:lineRule="auto"/>
      </w:pPr>
      <w:r>
        <w:t xml:space="preserve">назначением отхаркивающих препаратов, таких как амброксол. В большинстве случаев они могут быть объяснены тяжестью основного заболевания и/или сопутствующей терапией. У пациентов с синдромом </w:t>
      </w:r>
      <w:proofErr w:type="spellStart"/>
      <w:r>
        <w:t>Стивенса</w:t>
      </w:r>
      <w:proofErr w:type="spellEnd"/>
      <w:r>
        <w:t xml:space="preserve">-Джонсона или токсическим </w:t>
      </w:r>
      <w:proofErr w:type="spellStart"/>
      <w:r>
        <w:t>эпидермальным</w:t>
      </w:r>
      <w:proofErr w:type="spellEnd"/>
      <w:r>
        <w:t xml:space="preserve"> </w:t>
      </w:r>
      <w:proofErr w:type="spellStart"/>
      <w:r>
        <w:t>некролизом</w:t>
      </w:r>
      <w:proofErr w:type="spellEnd"/>
      <w:r>
        <w:t xml:space="preserve"> в ранней фазе могут появиться температура, боль в теле, ринит, кашель и боль в горле. При симптоматическом лечении возможно ошибочное назначение </w:t>
      </w:r>
      <w:proofErr w:type="spellStart"/>
      <w:r>
        <w:t>муколитических</w:t>
      </w:r>
      <w:proofErr w:type="spellEnd"/>
      <w:r>
        <w:t xml:space="preserve"> средств, таких как амброксол. При появлении новых поражений кожи и слизистых рекомендуется прекратить лечение препаратом Амброксол и немедленно обратиться за медицинской помощью.</w:t>
      </w:r>
    </w:p>
    <w:p w:rsidR="00DA3F6F" w:rsidRDefault="00DA3F6F" w:rsidP="00DA3F6F">
      <w:pPr>
        <w:spacing w:line="360" w:lineRule="auto"/>
      </w:pPr>
      <w:r>
        <w:t>При нарушениях функции почек препарат Амброксол необходимо применять только по рекомендации врача.</w:t>
      </w:r>
    </w:p>
    <w:p w:rsidR="006C4ACF" w:rsidRDefault="00DA3F6F" w:rsidP="00DA3F6F">
      <w:pPr>
        <w:spacing w:line="360" w:lineRule="auto"/>
      </w:pPr>
      <w:r>
        <w:t xml:space="preserve">В 1 мл препарата Амброксол содержится 350,0 мг </w:t>
      </w:r>
      <w:r w:rsidRPr="00127308">
        <w:t>сорбитола</w:t>
      </w:r>
      <w:r w:rsidR="006C4ACF" w:rsidRPr="00127308">
        <w:t xml:space="preserve">, что соответствует </w:t>
      </w:r>
      <w:r w:rsidR="00127308" w:rsidRPr="00127308">
        <w:t xml:space="preserve">0,03 </w:t>
      </w:r>
      <w:r w:rsidR="006C4ACF" w:rsidRPr="00127308">
        <w:t>ХЕ</w:t>
      </w:r>
      <w:r w:rsidRPr="00127308">
        <w:t>.</w:t>
      </w:r>
      <w:r>
        <w:t xml:space="preserve"> </w:t>
      </w:r>
    </w:p>
    <w:p w:rsidR="006C4ACF" w:rsidRDefault="006C4ACF" w:rsidP="00DA3F6F">
      <w:pPr>
        <w:spacing w:line="360" w:lineRule="auto"/>
      </w:pPr>
      <w:r>
        <w:t>Сорбитол может оказывать также слабительное действие.</w:t>
      </w:r>
    </w:p>
    <w:p w:rsidR="009E5BD0" w:rsidRDefault="00DA3F6F" w:rsidP="00DA3F6F">
      <w:pPr>
        <w:spacing w:line="360" w:lineRule="auto"/>
      </w:pPr>
      <w:r>
        <w:t>Пациенты с редкой наследственной непереносимостью фруктозы не должны принимать препарат</w:t>
      </w:r>
      <w:r w:rsidR="006C4ACF">
        <w:t>.</w:t>
      </w:r>
    </w:p>
    <w:p w:rsidR="009E5BD0" w:rsidRPr="00634D09" w:rsidRDefault="009E5BD0" w:rsidP="009E5BD0">
      <w:pPr>
        <w:spacing w:line="360" w:lineRule="auto"/>
        <w:rPr>
          <w:b/>
        </w:rPr>
      </w:pPr>
      <w:r>
        <w:rPr>
          <w:b/>
        </w:rPr>
        <w:t xml:space="preserve">Влияние на способность </w:t>
      </w:r>
      <w:r w:rsidR="002D201A">
        <w:rPr>
          <w:b/>
        </w:rPr>
        <w:t>управлять транспортными средствами, механизмами</w:t>
      </w:r>
    </w:p>
    <w:p w:rsidR="0050387A" w:rsidRDefault="00AA503B" w:rsidP="00CE445E">
      <w:pPr>
        <w:spacing w:line="360" w:lineRule="auto"/>
      </w:pPr>
      <w:r>
        <w:t xml:space="preserve">Исследования о влиянии препарата на способность к вождения автотранспорта и управлению другими механизмами не проводилось. Не было выявлено случаев влияния препарата на способность управления транспортными средствами и механизмами. Исследования по влиянию препарата на способность управлять автотранспортом и заниматься другими потенциально опасными видами деятельности, требующими </w:t>
      </w:r>
      <w:r>
        <w:lastRenderedPageBreak/>
        <w:t>повышенной концентрации внимания и быстроты психомоторных реакций не проводились.</w:t>
      </w:r>
    </w:p>
    <w:p w:rsidR="0050387A" w:rsidRPr="00D152E7" w:rsidRDefault="0050387A" w:rsidP="0050387A">
      <w:pPr>
        <w:pStyle w:val="3"/>
        <w:rPr>
          <w:b/>
          <w:iCs/>
        </w:rPr>
      </w:pPr>
      <w:r w:rsidRPr="00D152E7">
        <w:rPr>
          <w:b/>
          <w:iCs/>
        </w:rPr>
        <w:t>Форма выпуска</w:t>
      </w:r>
    </w:p>
    <w:p w:rsidR="002D201A" w:rsidRDefault="00AA503B" w:rsidP="002D201A">
      <w:pPr>
        <w:spacing w:line="360" w:lineRule="auto"/>
        <w:rPr>
          <w:iCs/>
        </w:rPr>
      </w:pPr>
      <w:r>
        <w:rPr>
          <w:iCs/>
        </w:rPr>
        <w:t>Раствор для приема внутрь,</w:t>
      </w:r>
      <w:r w:rsidR="00DA3F6F" w:rsidRPr="00DA3F6F">
        <w:rPr>
          <w:iCs/>
        </w:rPr>
        <w:t xml:space="preserve"> 30 мг/5 мл.</w:t>
      </w:r>
      <w:r w:rsidR="00CC1AAB" w:rsidRPr="00D152E7">
        <w:rPr>
          <w:iCs/>
        </w:rPr>
        <w:t xml:space="preserve"> </w:t>
      </w:r>
    </w:p>
    <w:p w:rsidR="00AA503B" w:rsidRPr="00AA503B" w:rsidRDefault="00AA503B" w:rsidP="00AA503B">
      <w:pPr>
        <w:pStyle w:val="3"/>
        <w:rPr>
          <w:color w:val="auto"/>
        </w:rPr>
      </w:pPr>
      <w:r w:rsidRPr="00AA503B">
        <w:rPr>
          <w:color w:val="auto"/>
        </w:rPr>
        <w:t>По 100 мл во флаконы темного стекла с винтовой горловиной, укупоренные винтовыми крышками со встроенными уплотнительными элементами или прокладками, с контрольным кольцом первого</w:t>
      </w:r>
      <w:r w:rsidR="006A230D">
        <w:rPr>
          <w:color w:val="auto"/>
        </w:rPr>
        <w:t xml:space="preserve"> вскрытия</w:t>
      </w:r>
      <w:r w:rsidRPr="00AA503B">
        <w:rPr>
          <w:color w:val="auto"/>
        </w:rPr>
        <w:t>.</w:t>
      </w:r>
    </w:p>
    <w:p w:rsidR="00AA503B" w:rsidRPr="00AA503B" w:rsidRDefault="006A230D" w:rsidP="00AA503B">
      <w:pPr>
        <w:pStyle w:val="3"/>
        <w:rPr>
          <w:color w:val="auto"/>
        </w:rPr>
      </w:pPr>
      <w:r>
        <w:rPr>
          <w:color w:val="auto"/>
        </w:rPr>
        <w:t>Один</w:t>
      </w:r>
      <w:bookmarkStart w:id="0" w:name="_GoBack"/>
      <w:bookmarkEnd w:id="0"/>
      <w:r w:rsidR="00AA503B" w:rsidRPr="00AA503B">
        <w:rPr>
          <w:color w:val="auto"/>
        </w:rPr>
        <w:t xml:space="preserve"> флакон вместе с мерной ложкой номинальным объемом 5 мл с риской с маркировкой «1⁄2» (что соответствует 2,5 мл) или с мерной ложкой номинальным объемом 5 мл с рисками с маркировкой «1⁄4» и «1⁄2» (что соответствует 1,25 мл и 2,5 мл), или с мерным стаканом, с инструкцией по применению помещают в пачку из картона.</w:t>
      </w:r>
    </w:p>
    <w:p w:rsidR="00AA503B" w:rsidRDefault="00AA503B" w:rsidP="00AA503B">
      <w:pPr>
        <w:pStyle w:val="3"/>
        <w:rPr>
          <w:color w:val="auto"/>
        </w:rPr>
      </w:pPr>
      <w:r w:rsidRPr="00AA503B">
        <w:rPr>
          <w:color w:val="auto"/>
        </w:rPr>
        <w:t>На флакон наклеивают этикетку из бумаги самоклеящейся.</w:t>
      </w:r>
    </w:p>
    <w:p w:rsidR="00D463B6" w:rsidRDefault="00D463B6" w:rsidP="00AA503B">
      <w:pPr>
        <w:pStyle w:val="3"/>
        <w:rPr>
          <w:color w:val="auto"/>
        </w:rPr>
      </w:pPr>
      <w:r w:rsidRPr="00D463B6">
        <w:rPr>
          <w:color w:val="auto"/>
        </w:rPr>
        <w:t>Один флакон с инструкцией по применению и мерной ложкой</w:t>
      </w:r>
      <w:r w:rsidR="00E05C60">
        <w:rPr>
          <w:color w:val="auto"/>
        </w:rPr>
        <w:t>,</w:t>
      </w:r>
      <w:r w:rsidRPr="00D463B6">
        <w:rPr>
          <w:color w:val="auto"/>
        </w:rPr>
        <w:t xml:space="preserve"> или мерным шприцом</w:t>
      </w:r>
      <w:r w:rsidR="00E05C60" w:rsidRPr="00E05C60">
        <w:rPr>
          <w:color w:val="auto"/>
        </w:rPr>
        <w:t>,</w:t>
      </w:r>
      <w:r w:rsidR="00E05C60">
        <w:rPr>
          <w:color w:val="auto"/>
        </w:rPr>
        <w:t xml:space="preserve"> или с мерным стаканом</w:t>
      </w:r>
      <w:r w:rsidRPr="00D463B6">
        <w:rPr>
          <w:color w:val="auto"/>
        </w:rPr>
        <w:t xml:space="preserve"> в пачке из картона.</w:t>
      </w:r>
    </w:p>
    <w:p w:rsidR="0050387A" w:rsidRPr="00D152E7" w:rsidRDefault="0050387A" w:rsidP="00D463B6">
      <w:pPr>
        <w:pStyle w:val="3"/>
        <w:rPr>
          <w:b/>
          <w:iCs/>
        </w:rPr>
      </w:pPr>
      <w:r w:rsidRPr="00D152E7">
        <w:rPr>
          <w:b/>
          <w:iCs/>
        </w:rPr>
        <w:t>Условия хранения</w:t>
      </w:r>
    </w:p>
    <w:p w:rsidR="0050387A" w:rsidRPr="00D152E7" w:rsidRDefault="00DA3F6F" w:rsidP="0050387A">
      <w:pPr>
        <w:pStyle w:val="3"/>
        <w:rPr>
          <w:iCs/>
        </w:rPr>
      </w:pPr>
      <w:r w:rsidRPr="00DA3F6F">
        <w:rPr>
          <w:iCs/>
        </w:rPr>
        <w:t xml:space="preserve">Хранить </w:t>
      </w:r>
      <w:r w:rsidR="00402C9D">
        <w:rPr>
          <w:iCs/>
        </w:rPr>
        <w:t>в</w:t>
      </w:r>
      <w:r w:rsidR="00402C9D" w:rsidRPr="00402C9D">
        <w:rPr>
          <w:iCs/>
        </w:rPr>
        <w:t xml:space="preserve"> защищенном от света месте</w:t>
      </w:r>
      <w:r w:rsidR="00475ED9">
        <w:rPr>
          <w:iCs/>
        </w:rPr>
        <w:t>,</w:t>
      </w:r>
      <w:r w:rsidR="00402C9D" w:rsidRPr="00402C9D">
        <w:rPr>
          <w:iCs/>
        </w:rPr>
        <w:t xml:space="preserve"> при температуре не выше 25 ℃.</w:t>
      </w:r>
      <w:r w:rsidRPr="00DA3F6F">
        <w:rPr>
          <w:iCs/>
        </w:rPr>
        <w:t xml:space="preserve"> Хранить в недоступном для детей месте.</w:t>
      </w:r>
    </w:p>
    <w:p w:rsidR="0050387A" w:rsidRPr="00D152E7" w:rsidRDefault="0050387A" w:rsidP="0050387A">
      <w:pPr>
        <w:pStyle w:val="3"/>
        <w:rPr>
          <w:b/>
          <w:iCs/>
        </w:rPr>
      </w:pPr>
      <w:r w:rsidRPr="00D152E7">
        <w:rPr>
          <w:b/>
          <w:iCs/>
        </w:rPr>
        <w:t>Срок годности</w:t>
      </w:r>
    </w:p>
    <w:p w:rsidR="0050387A" w:rsidRPr="002D201A" w:rsidRDefault="0050387A" w:rsidP="0050387A">
      <w:pPr>
        <w:pStyle w:val="3"/>
        <w:rPr>
          <w:iCs/>
        </w:rPr>
      </w:pPr>
      <w:r w:rsidRPr="00D152E7">
        <w:rPr>
          <w:iCs/>
        </w:rPr>
        <w:t xml:space="preserve">3 года. Не применять </w:t>
      </w:r>
      <w:r w:rsidR="002D201A">
        <w:rPr>
          <w:iCs/>
        </w:rPr>
        <w:t>по истечении срока годности.</w:t>
      </w:r>
    </w:p>
    <w:p w:rsidR="0050387A" w:rsidRPr="00D152E7" w:rsidRDefault="0050387A" w:rsidP="0050387A">
      <w:pPr>
        <w:pStyle w:val="3"/>
        <w:rPr>
          <w:b/>
          <w:iCs/>
        </w:rPr>
      </w:pPr>
      <w:r w:rsidRPr="00D152E7">
        <w:rPr>
          <w:b/>
          <w:iCs/>
        </w:rPr>
        <w:t>Условия отпуска</w:t>
      </w:r>
    </w:p>
    <w:p w:rsidR="0050387A" w:rsidRPr="00B53BC4" w:rsidRDefault="002D201A" w:rsidP="0050387A">
      <w:pPr>
        <w:pStyle w:val="3"/>
        <w:rPr>
          <w:b/>
          <w:iCs/>
        </w:rPr>
      </w:pPr>
      <w:r>
        <w:rPr>
          <w:iCs/>
        </w:rPr>
        <w:t>Отпускают без рецепта.</w:t>
      </w:r>
    </w:p>
    <w:p w:rsidR="00B53BC4" w:rsidRDefault="00B53BC4" w:rsidP="00B53BC4">
      <w:pPr>
        <w:pStyle w:val="3"/>
        <w:rPr>
          <w:b/>
          <w:iCs/>
        </w:rPr>
      </w:pPr>
    </w:p>
    <w:p w:rsidR="00B53BC4" w:rsidRDefault="00B53BC4" w:rsidP="00B53BC4">
      <w:pPr>
        <w:pStyle w:val="3"/>
        <w:rPr>
          <w:b/>
          <w:iCs/>
        </w:rPr>
      </w:pPr>
    </w:p>
    <w:p w:rsidR="00B53BC4" w:rsidRPr="00B53BC4" w:rsidRDefault="00054E19" w:rsidP="00B53BC4">
      <w:pPr>
        <w:pStyle w:val="3"/>
        <w:rPr>
          <w:b/>
          <w:iCs/>
        </w:rPr>
      </w:pPr>
      <w:r w:rsidRPr="00054E19">
        <w:rPr>
          <w:b/>
          <w:iCs/>
        </w:rPr>
        <w:t>Владелец регистрационного удостоверения/ Производитель/ Организация, принимающая претензии</w:t>
      </w:r>
      <w:r w:rsidR="00B53BC4" w:rsidRPr="00B53BC4">
        <w:rPr>
          <w:b/>
          <w:iCs/>
        </w:rPr>
        <w:t>:</w:t>
      </w:r>
    </w:p>
    <w:p w:rsidR="00B53BC4" w:rsidRPr="00B53BC4" w:rsidRDefault="00B53BC4" w:rsidP="00B53BC4">
      <w:pPr>
        <w:pStyle w:val="3"/>
        <w:rPr>
          <w:iCs/>
        </w:rPr>
      </w:pPr>
      <w:r w:rsidRPr="00B53BC4">
        <w:rPr>
          <w:iCs/>
        </w:rPr>
        <w:t xml:space="preserve">АО «Усолье-Сибирский Химфармзавод» </w:t>
      </w:r>
    </w:p>
    <w:p w:rsidR="00B53BC4" w:rsidRPr="00B53BC4" w:rsidRDefault="00B53BC4" w:rsidP="00B53BC4">
      <w:pPr>
        <w:pStyle w:val="3"/>
        <w:rPr>
          <w:iCs/>
        </w:rPr>
      </w:pPr>
      <w:r w:rsidRPr="00B53BC4">
        <w:rPr>
          <w:iCs/>
        </w:rPr>
        <w:t xml:space="preserve">Россия, 665462, Иркутская обл., </w:t>
      </w:r>
      <w:proofErr w:type="spellStart"/>
      <w:r w:rsidRPr="00B53BC4">
        <w:rPr>
          <w:iCs/>
        </w:rPr>
        <w:t>г.Усолье</w:t>
      </w:r>
      <w:proofErr w:type="spellEnd"/>
      <w:r w:rsidRPr="00B53BC4">
        <w:rPr>
          <w:iCs/>
        </w:rPr>
        <w:t xml:space="preserve">-Сибирское, северо-западная часть города, с северо-восточной стороны, в 115 м от Прибайкальской автодороги. </w:t>
      </w:r>
    </w:p>
    <w:p w:rsidR="00B53BC4" w:rsidRPr="00B53BC4" w:rsidRDefault="00B53BC4" w:rsidP="00B53BC4">
      <w:pPr>
        <w:pStyle w:val="3"/>
        <w:rPr>
          <w:iCs/>
        </w:rPr>
      </w:pPr>
      <w:r w:rsidRPr="00B53BC4">
        <w:rPr>
          <w:iCs/>
        </w:rPr>
        <w:t>тел./факс: (39543) 5-89-10, 5-89-08</w:t>
      </w:r>
    </w:p>
    <w:p w:rsidR="00B53BC4" w:rsidRPr="00B53BC4" w:rsidRDefault="00B53BC4" w:rsidP="00B53BC4">
      <w:pPr>
        <w:pStyle w:val="3"/>
        <w:rPr>
          <w:iCs/>
        </w:rPr>
      </w:pPr>
    </w:p>
    <w:p w:rsidR="00B53BC4" w:rsidRPr="00B53BC4" w:rsidRDefault="00B53BC4" w:rsidP="00B53BC4">
      <w:pPr>
        <w:pStyle w:val="3"/>
        <w:rPr>
          <w:iCs/>
        </w:rPr>
      </w:pPr>
    </w:p>
    <w:p w:rsidR="00B53BC4" w:rsidRPr="00B53BC4" w:rsidRDefault="00B53BC4" w:rsidP="00B53BC4">
      <w:pPr>
        <w:pStyle w:val="3"/>
        <w:rPr>
          <w:iCs/>
        </w:rPr>
      </w:pPr>
    </w:p>
    <w:p w:rsidR="00B53BC4" w:rsidRPr="00B53BC4" w:rsidRDefault="00B53BC4" w:rsidP="00B53BC4">
      <w:pPr>
        <w:pStyle w:val="3"/>
        <w:rPr>
          <w:iCs/>
        </w:rPr>
      </w:pPr>
      <w:r w:rsidRPr="00B53BC4">
        <w:rPr>
          <w:iCs/>
        </w:rPr>
        <w:t>Генеральный директор</w:t>
      </w:r>
    </w:p>
    <w:p w:rsidR="0050387A" w:rsidRPr="00C75943" w:rsidRDefault="00B53BC4" w:rsidP="00C75943">
      <w:pPr>
        <w:pStyle w:val="3"/>
        <w:rPr>
          <w:iCs/>
        </w:rPr>
      </w:pPr>
      <w:r w:rsidRPr="00B53BC4">
        <w:rPr>
          <w:iCs/>
        </w:rPr>
        <w:t xml:space="preserve">АО «Усолье-Сибирский </w:t>
      </w:r>
      <w:proofErr w:type="spellStart"/>
      <w:r w:rsidRPr="00B53BC4">
        <w:rPr>
          <w:iCs/>
        </w:rPr>
        <w:t>химфармзавод</w:t>
      </w:r>
      <w:proofErr w:type="spellEnd"/>
      <w:r w:rsidRPr="00B53BC4">
        <w:rPr>
          <w:iCs/>
        </w:rPr>
        <w:t xml:space="preserve">» </w:t>
      </w:r>
      <w:r w:rsidRPr="00B53BC4">
        <w:rPr>
          <w:iCs/>
        </w:rPr>
        <w:tab/>
      </w:r>
      <w:r w:rsidRPr="00B53BC4">
        <w:rPr>
          <w:iCs/>
        </w:rPr>
        <w:tab/>
      </w:r>
      <w:r w:rsidRPr="00B53BC4">
        <w:rPr>
          <w:iCs/>
        </w:rPr>
        <w:tab/>
      </w:r>
      <w:r w:rsidRPr="00B53BC4">
        <w:rPr>
          <w:iCs/>
        </w:rPr>
        <w:tab/>
      </w:r>
      <w:proofErr w:type="spellStart"/>
      <w:r w:rsidRPr="00B53BC4">
        <w:rPr>
          <w:iCs/>
        </w:rPr>
        <w:t>Тюстин</w:t>
      </w:r>
      <w:proofErr w:type="spellEnd"/>
      <w:r w:rsidRPr="00B53BC4">
        <w:rPr>
          <w:iCs/>
        </w:rPr>
        <w:t xml:space="preserve"> С.В.</w:t>
      </w:r>
    </w:p>
    <w:sectPr w:rsidR="0050387A" w:rsidRPr="00C75943" w:rsidSect="007B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8448A"/>
    <w:multiLevelType w:val="hybridMultilevel"/>
    <w:tmpl w:val="69D2F3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9741F"/>
    <w:multiLevelType w:val="hybridMultilevel"/>
    <w:tmpl w:val="4D647C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77440"/>
    <w:multiLevelType w:val="hybridMultilevel"/>
    <w:tmpl w:val="F39AF8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DF"/>
    <w:rsid w:val="00024AB0"/>
    <w:rsid w:val="00054E19"/>
    <w:rsid w:val="00065E5E"/>
    <w:rsid w:val="000C0567"/>
    <w:rsid w:val="000C47F3"/>
    <w:rsid w:val="00127308"/>
    <w:rsid w:val="00166E80"/>
    <w:rsid w:val="002D201A"/>
    <w:rsid w:val="002F0E6E"/>
    <w:rsid w:val="003B7F3B"/>
    <w:rsid w:val="00402C9D"/>
    <w:rsid w:val="00475ED9"/>
    <w:rsid w:val="0050387A"/>
    <w:rsid w:val="00634D09"/>
    <w:rsid w:val="006A230D"/>
    <w:rsid w:val="006C4ACF"/>
    <w:rsid w:val="006E3A60"/>
    <w:rsid w:val="006E5B81"/>
    <w:rsid w:val="00713594"/>
    <w:rsid w:val="007B2826"/>
    <w:rsid w:val="007E28DF"/>
    <w:rsid w:val="007E3035"/>
    <w:rsid w:val="009C078B"/>
    <w:rsid w:val="009E5BD0"/>
    <w:rsid w:val="00A16F9E"/>
    <w:rsid w:val="00AA503B"/>
    <w:rsid w:val="00B43812"/>
    <w:rsid w:val="00B53BC4"/>
    <w:rsid w:val="00C10783"/>
    <w:rsid w:val="00C75943"/>
    <w:rsid w:val="00CC1A88"/>
    <w:rsid w:val="00CC1AAB"/>
    <w:rsid w:val="00CE445E"/>
    <w:rsid w:val="00D17813"/>
    <w:rsid w:val="00D36BD5"/>
    <w:rsid w:val="00D463B6"/>
    <w:rsid w:val="00D7603A"/>
    <w:rsid w:val="00D8265A"/>
    <w:rsid w:val="00D93FD9"/>
    <w:rsid w:val="00DA3F6F"/>
    <w:rsid w:val="00DB4F50"/>
    <w:rsid w:val="00DF3E41"/>
    <w:rsid w:val="00E05C60"/>
    <w:rsid w:val="00E97811"/>
    <w:rsid w:val="00F241C6"/>
    <w:rsid w:val="00F2538B"/>
    <w:rsid w:val="00F34EA1"/>
    <w:rsid w:val="00F41F79"/>
    <w:rsid w:val="00F66A42"/>
    <w:rsid w:val="00F9777B"/>
    <w:rsid w:val="00FB01F5"/>
    <w:rsid w:val="00FB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19AFC-9CA8-4C89-A9FC-76EA758E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D201A"/>
    <w:pPr>
      <w:keepNext/>
      <w:tabs>
        <w:tab w:val="left" w:pos="4820"/>
      </w:tabs>
      <w:suppressAutoHyphens/>
      <w:jc w:val="center"/>
      <w:textAlignment w:val="baseline"/>
      <w:outlineLvl w:val="0"/>
    </w:pPr>
    <w:rPr>
      <w:bCs/>
      <w:color w:val="00000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50387A"/>
    <w:pPr>
      <w:spacing w:line="360" w:lineRule="auto"/>
      <w:jc w:val="both"/>
    </w:pPr>
    <w:rPr>
      <w:color w:val="000000"/>
    </w:rPr>
  </w:style>
  <w:style w:type="paragraph" w:customStyle="1" w:styleId="Default">
    <w:name w:val="Default"/>
    <w:rsid w:val="005038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DB4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B4F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B4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201A"/>
    <w:rPr>
      <w:rFonts w:ascii="Times New Roman" w:eastAsia="Times New Roman" w:hAnsi="Times New Roman" w:cs="Times New Roman"/>
      <w:bCs/>
      <w:color w:val="00000A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E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3E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42D89-29BA-419F-8096-80653A55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Лаврухин</dc:creator>
  <cp:keywords/>
  <dc:description/>
  <cp:lastModifiedBy>Соловьева Анна Сергеевна</cp:lastModifiedBy>
  <cp:revision>6</cp:revision>
  <cp:lastPrinted>2020-08-25T07:17:00Z</cp:lastPrinted>
  <dcterms:created xsi:type="dcterms:W3CDTF">2021-09-06T05:46:00Z</dcterms:created>
  <dcterms:modified xsi:type="dcterms:W3CDTF">2021-10-04T08:10:00Z</dcterms:modified>
</cp:coreProperties>
</file>